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Utensílios: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12-utensilios.fluxo.json,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Pessoas jurídicas e estrutura funcional prontas: fabricante, fornecedor e a árvore da estrutura funcional existem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incluir ou abrir um registro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formulário: descrição, fabricante, datas, tag, número de série e a estrutura funcional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confirma, confere obrigatórios, tag e número de série repetidos e datas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SIM grava e escreve a linha do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 ou inativar com justificativa; excluir só com confirmação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Uso nos outros cadastros e módulos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registro usado em outro cadastro não pode ser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aparece nas listas de escolha dos outros cadastros e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: continua cadastrado, mas sai das listas de escolha; abre travado para reativação (utensilio_ed.aspx.cs:153-161).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 (lixeira)</w:t>
      </w:r>
      <w:r>
        <w:rPr>
          <w:szCs w:val="20"/>
        </w:rPr>
        <w:t xml:space="preserve">: some das listas; a tabela guarda usuário e data da exclusão (dalUtensilio.cs:268-286).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status de calibração ou qualificação nesta tela: a data de fim de operação é a única "situação" de ciclo de vida, e só pode ser uma data que já passou ou hoje (utensilio_ed.aspx:136-137).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 com usuário (dalLogAlteracaoUtensilio.cs:14-25).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mudado, com valor antigo, valor novo, usuário e justificativa (dalLogAlteracaoUtensilio.cs:27-187).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 com usuário e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 (dalLogAlteracaoUtensilio.cs:190-202).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guarda usuário e data de criação, alteração e exclusão (TBL_UTENSILIO.sql:16-21).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alteração da </w:t>
      </w:r>
      <w:r>
        <w:rPr>
          <w:b/>
          <w:bCs/>
          <w:szCs w:val="20"/>
        </w:rPr>
        <w:t xml:space="preserve">data de fabricação</w:t>
      </w:r>
      <w:r>
        <w:rPr>
          <w:szCs w:val="20"/>
        </w:rPr>
        <w:t xml:space="preserve"> não é registrada no histórico (dalLogAlteracaoUtensilio.cs:27-187 não tem esse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pelas telas (mesmo desenho do Ambiente, DV-PRI-014: a lista só traz LIXEIRA = 0, dalUtensilio.cs:19-21).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limita cada valor a 255 caracteres (SEG-PRI-13, regra geral do módulo).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7"/>
        <w:gridCol w:w="2356"/>
        <w:gridCol w:w="2636"/>
        <w:gridCol w:w="2842"/>
      </w:tblGrid>
      <w:tr>
        <w:trPr>
          <w:tblHeader/>
          <w:cantSplit/>
        </w:trPr>
        <w:tc>
          <w:tcPr>
            <w:tcW w:w="1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TBL_UTENSILIO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 (255), TAG, PATRIMONIO, MODELO, NUMERO_SERIE (30 cada), DATA_FABRICACAO, DATA_INICIO_OPERACAO, DATA_FIM_OPERACAO, ID_FABRICANTE, ID_FORNECEDOR, ID_ESTRUTURA_FUNCIONAL, ATIVO, LIXEIRA e as colunas de criação, alteração e exclusão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 ligam à pessoa jurídica (GBL_PJ); estrutura funcional liga a SIS_LOCAL; sem restrição de unicidade no banco para tag e número de série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TBL_UTENSILIO.sql:1-29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SIS_LOCAL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Árvore de estruturas funcionais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Vínculo do campo "Direção/Sub-Direção/Seção Proprietária"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TBL_UTENSILIO.sql:25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Fabricantes e fornecedores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de escolha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dalPJ.cs:855-878</w:t>
            </w:r>
          </w:p>
        </w:tc>
      </w:tr>
      <w:tr>
        <w:trPr>
          <w:cantSplit/>
        </w:trPr>
        <w:tc>
          <w:tcPr>
            <w:tcW w:w="1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"TBL_UTENSILIO"</w:t>
            </w:r>
          </w:p>
        </w:tc>
        <w:tc>
          <w:tcPr>
            <w:tcW w:w="2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dalLogAlteracaoUtensilio.cs:11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3"/>
        <w:gridCol w:w="2269"/>
        <w:gridCol w:w="1892"/>
        <w:gridCol w:w="3897"/>
      </w:tblGrid>
      <w:tr>
        <w:trPr>
          <w:tblHeader/>
          <w:cantSplit/>
        </w:trPr>
        <w:tc>
          <w:tcPr>
            <w:tcW w:w="1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8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utensílios ativos na montagem do lote padrão; consulta de um utensílio pelo código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</w:t>
            </w:r>
            <w:r>
              <w:rPr>
                <w:sz w:val="18"/>
                <w:szCs w:val="20"/>
              </w:rPr>
              <w:t xml:space="preserve">api/Utensilio</w:t>
            </w:r>
            <w:r>
              <w:rPr>
                <w:sz w:val="18"/>
                <w:szCs w:val="20"/>
              </w:rPr>
              <w:t xml:space="preserve"> do Principal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PrincipalService.cs:63-80; lote_padrao_ed.aspx.cs:54 e 66-72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 tabela própria de "utensílios de amostragem" (nome e descrição), </w:t>
            </w:r>
            <w:r>
              <w:rPr>
                <w:sz w:val="18"/>
                <w:b/>
                <w:bCs/>
                <w:szCs w:val="20"/>
              </w:rPr>
              <w:t xml:space="preserve">sem ligação</w:t>
            </w:r>
            <w:r>
              <w:rPr>
                <w:sz w:val="18"/>
                <w:szCs w:val="20"/>
              </w:rPr>
              <w:t xml:space="preserve"> com este cadastro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(cadastro repetido)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HSolutions.CQ.DB/Tables/TBL_UTENSILIO_AMOSTRAGEM.sql:1-19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Garantia da Qualidade, Comercial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referência a esta tabela nesses módulos (busca por nome)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Utensílios: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Utensílios: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