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Rastreabilidade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 Rastreabilidade ideal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0.1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0.1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Primeira versão, para validação com Assuntos Regulatórios e a GQ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ideal.</w:t>
      </w:r>
      <w:r>
        <w:rPr>
          <w:szCs w:val="20"/>
        </w:rPr>
        <w:t xml:space="preserve"> Como a Rastreabilidade deve trabalhar para atender à regulamentação do SNCM, à RDC 658/2022 e ao Guia 33/2020. Este documento não descreve o legado. Usa o que foi levantado no código só para mostrar </w:t>
      </w:r>
      <w:r>
        <w:rPr>
          <w:b/>
          <w:bCs/>
          <w:szCs w:val="20"/>
        </w:rPr>
        <w:t xml:space="preserve">o que manter, o que corrigir e o que construir</w:t>
      </w:r>
      <w:r>
        <w:rPr>
          <w:szCs w:val="20"/>
        </w:rPr>
        <w:t xml:space="preserve">. Complementa </w:t>
      </w:r>
      <w:r>
        <w:rPr>
          <w:szCs w:val="20"/>
        </w:rPr>
        <w:t xml:space="preserve">modelo-ideal/01-qualidade-entre-modulos.md</w:t>
      </w:r>
      <w:r>
        <w:rPr>
          <w:szCs w:val="20"/>
        </w:rPr>
        <w:t xml:space="preserve">, que define as travas entre os módulos. Versão 0.1, de 12/10/2026, para validação com Assuntos Regulatórios e a Garantia da Qualidade.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1. O PAPEL DA RASTREABILIDADE NO ERP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Rastreabilidade </w:t>
      </w:r>
      <w:r>
        <w:rPr>
          <w:b/>
          <w:bCs/>
          <w:szCs w:val="20"/>
        </w:rPr>
        <w:t xml:space="preserve">dá a cada embalagem um identificador único e conta à ANVISA, com prova, por onde ela passou</w:t>
      </w:r>
      <w:r>
        <w:rPr>
          <w:szCs w:val="20"/>
        </w:rPr>
        <w:t xml:space="preserve">. É o que permite recolher uma embalagem específica e o que a regulamentação do SNCM exige.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modelo ideal, a Rastreabilidade </w:t>
      </w:r>
      <w:r>
        <w:rPr>
          <w:b/>
          <w:bCs/>
          <w:szCs w:val="20"/>
        </w:rPr>
        <w:t xml:space="preserve">não decide nada sobre o lote</w:t>
      </w:r>
      <w:r>
        <w:rPr>
          <w:szCs w:val="20"/>
        </w:rPr>
        <w:t xml:space="preserve">: ela consulta a situação única do lote, gera os IUM na quantidade embalada e registra os eventos que nascem dos outros módulos (embalagem na Produção, expedição no Comercial e no Estoque). Uma declaração só vale como "enviada" quando a ANVISA devolve o protocolo.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394"/>
        <w:gridCol w:w="4237"/>
      </w:tblGrid>
      <w:tr>
        <w:trPr>
          <w:tblHeader/>
          <w:cantSplit/>
        </w:trPr>
        <w:tc>
          <w:tcPr>
            <w:tcW w:w="53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 Rastreabilidade faz</w:t>
            </w:r>
          </w:p>
        </w:tc>
        <w:tc>
          <w:tcPr>
            <w:tcW w:w="42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 Rastreabilidade não faz</w:t>
            </w:r>
          </w:p>
        </w:tc>
      </w:tr>
      <w:tr>
        <w:trPr>
          <w:cantSplit/>
        </w:trPr>
        <w:tc>
          <w:tcPr>
            <w:tcW w:w="5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os IUM do lote certificado, na quantidade embalada, com série única</w:t>
            </w:r>
          </w:p>
        </w:tc>
        <w:tc>
          <w:tcPr>
            <w:tcW w:w="4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 o lote (é da Pessoa Delegada, trava 4)</w:t>
            </w:r>
          </w:p>
        </w:tc>
      </w:tr>
      <w:tr>
        <w:trPr>
          <w:cantSplit/>
        </w:trPr>
        <w:tc>
          <w:tcPr>
            <w:tcW w:w="5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Imprime a etiqueta com os dados da empresa vindos do cadastro</w:t>
            </w:r>
          </w:p>
        </w:tc>
        <w:tc>
          <w:tcPr>
            <w:tcW w:w="4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Guardar dados da empresa no programa</w:t>
            </w:r>
          </w:p>
        </w:tc>
      </w:tr>
      <w:tr>
        <w:trPr>
          <w:cantSplit/>
        </w:trPr>
        <w:tc>
          <w:tcPr>
            <w:tcW w:w="5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Declara cada evento ao SNCM, assinado, e guarda o protocolo</w:t>
            </w:r>
          </w:p>
        </w:tc>
        <w:tc>
          <w:tcPr>
            <w:tcW w:w="4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Dizer "enviado" sem protocolo</w:t>
            </w:r>
          </w:p>
        </w:tc>
      </w:tr>
      <w:tr>
        <w:trPr>
          <w:cantSplit/>
        </w:trPr>
        <w:tc>
          <w:tcPr>
            <w:tcW w:w="5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entrega à venda e entrega à GQ a lista de embalagens num recolhimento</w:t>
            </w:r>
          </w:p>
        </w:tc>
        <w:tc>
          <w:tcPr>
            <w:tcW w:w="4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ou encerrar recolhimento (é da GQ, trava 11)</w:t>
            </w:r>
          </w:p>
        </w:tc>
      </w:tr>
      <w:tr>
        <w:trPr>
          <w:cantSplit/>
        </w:trPr>
        <w:tc>
          <w:tcPr>
            <w:tcW w:w="5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 uma declaração com motivo, por outra pessoa</w:t>
            </w:r>
          </w:p>
        </w:tc>
        <w:tc>
          <w:tcPr>
            <w:tcW w:w="4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Desfazer o que já foi declarado sem registro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2. COMO O TRABALHO ANDA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69692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6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Rastreabilidade ideal: do lote certificado à declaração com protocolo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Um evento passa por estas situações, nesta ordem, e cada mudança fica no histórico: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19"/>
        <w:gridCol w:w="3569"/>
        <w:gridCol w:w="3943"/>
      </w:tblGrid>
      <w:tr>
        <w:trPr>
          <w:tblHeader/>
          <w:cantSplit/>
        </w:trPr>
        <w:tc>
          <w:tcPr>
            <w:tcW w:w="21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do evento</w:t>
            </w:r>
          </w:p>
        </w:tc>
        <w:tc>
          <w:tcPr>
            <w:tcW w:w="35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Quem leva a ela</w:t>
            </w:r>
          </w:p>
        </w:tc>
        <w:tc>
          <w:tcPr>
            <w:tcW w:w="39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sistema confere</w:t>
            </w:r>
          </w:p>
        </w:tc>
      </w:tr>
      <w:tr>
        <w:trPr>
          <w:cantSplit/>
        </w:trPr>
        <w:tc>
          <w:tcPr>
            <w:tcW w:w="2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Registrado</w:t>
            </w:r>
          </w:p>
        </w:tc>
        <w:tc>
          <w:tcPr>
            <w:tcW w:w="3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módulo de origem (Produção, Comercial, Estoque) ou o usuário</w:t>
            </w:r>
          </w:p>
        </w:tc>
        <w:tc>
          <w:tcPr>
            <w:tcW w:w="3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Sequência dos eventos do IUM; situação do lote; ligação com a venda, na entrega</w:t>
            </w:r>
          </w:p>
        </w:tc>
      </w:tr>
      <w:tr>
        <w:trPr>
          <w:cantSplit/>
        </w:trPr>
        <w:tc>
          <w:tcPr>
            <w:tcW w:w="2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Assinado e enviado</w:t>
            </w:r>
          </w:p>
        </w:tc>
        <w:tc>
          <w:tcPr>
            <w:tcW w:w="3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Sistema, com o certificado digital da empresa</w:t>
            </w:r>
          </w:p>
        </w:tc>
        <w:tc>
          <w:tcPr>
            <w:tcW w:w="3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aceito pelo SNCM</w:t>
            </w:r>
          </w:p>
        </w:tc>
      </w:tr>
      <w:tr>
        <w:trPr>
          <w:cantSplit/>
        </w:trPr>
        <w:tc>
          <w:tcPr>
            <w:tcW w:w="2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Aceito, com protocolo</w:t>
            </w:r>
          </w:p>
        </w:tc>
        <w:tc>
          <w:tcPr>
            <w:tcW w:w="3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 da ANVISA</w:t>
            </w:r>
          </w:p>
        </w:tc>
        <w:tc>
          <w:tcPr>
            <w:tcW w:w="3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aqui o evento vale como declarado</w:t>
            </w:r>
          </w:p>
        </w:tc>
      </w:tr>
      <w:tr>
        <w:trPr>
          <w:cantSplit/>
        </w:trPr>
        <w:tc>
          <w:tcPr>
            <w:tcW w:w="2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Recusado</w:t>
            </w:r>
          </w:p>
        </w:tc>
        <w:tc>
          <w:tcPr>
            <w:tcW w:w="3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 da ANVISA</w:t>
            </w:r>
          </w:p>
        </w:tc>
        <w:tc>
          <w:tcPr>
            <w:tcW w:w="3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da recusa visível; correção e novo envio controlados</w:t>
            </w:r>
          </w:p>
        </w:tc>
      </w:tr>
      <w:tr>
        <w:trPr>
          <w:cantSplit/>
        </w:trPr>
        <w:tc>
          <w:tcPr>
            <w:tcW w:w="2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Retificado</w:t>
            </w:r>
          </w:p>
        </w:tc>
        <w:tc>
          <w:tcPr>
            <w:tcW w:w="3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pelas declarações, com motivo e assinatura</w:t>
            </w:r>
          </w:p>
        </w:tc>
        <w:tc>
          <w:tcPr>
            <w:tcW w:w="3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Outra pessoa, que não registrou o evento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3. AS FUNÇÕES DA RASTREABILIDADE IDEAL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Ação: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Manter</w:t>
      </w:r>
      <w:r>
        <w:rPr>
          <w:szCs w:val="20"/>
        </w:rPr>
        <w:t xml:space="preserve"> = o legado já faz como deve; </w:t>
      </w:r>
      <w:r>
        <w:rPr>
          <w:b/>
          <w:bCs/>
          <w:szCs w:val="20"/>
        </w:rPr>
        <w:t xml:space="preserve">Corrigir</w:t>
      </w:r>
      <w:r>
        <w:rPr>
          <w:szCs w:val="20"/>
        </w:rPr>
        <w:t xml:space="preserve"> = existe, mas não atende; </w:t>
      </w:r>
      <w:r>
        <w:rPr>
          <w:b/>
          <w:bCs/>
          <w:szCs w:val="20"/>
        </w:rPr>
        <w:t xml:space="preserve">Construir</w:t>
      </w:r>
      <w:r>
        <w:rPr>
          <w:szCs w:val="20"/>
        </w:rPr>
        <w:t xml:space="preserve"> = não existe.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50"/>
        <w:gridCol w:w="1667"/>
        <w:gridCol w:w="3317"/>
        <w:gridCol w:w="1199"/>
        <w:gridCol w:w="1533"/>
        <w:gridCol w:w="1565"/>
      </w:tblGrid>
      <w:tr>
        <w:trPr>
          <w:tblHeader/>
          <w:cantSplit/>
        </w:trPr>
        <w:tc>
          <w:tcPr>
            <w:tcW w:w="3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33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11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Ação</w:t>
            </w:r>
          </w:p>
        </w:tc>
        <w:tc>
          <w:tcPr>
            <w:tcW w:w="15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Como deve funcionar</w:t>
            </w:r>
          </w:p>
        </w:tc>
        <w:tc>
          <w:tcPr>
            <w:tcW w:w="15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 legado hoje</w:t>
            </w:r>
          </w:p>
        </w:tc>
      </w:tr>
      <w:tr>
        <w:trPr>
          <w:cantSplit/>
        </w:trPr>
        <w:tc>
          <w:tcPr>
            <w:tcW w:w="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Eventos declarados ao SNCM, com protocolo</w:t>
            </w:r>
          </w:p>
        </w:tc>
        <w:tc>
          <w:tcPr>
            <w:tcW w:w="3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 11.903/2009 e regulamentação do SNCM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Construir</w:t>
            </w:r>
          </w:p>
        </w:tc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Envio assinado com o certificado digital da empresa; protocolo guardado; recusas tratadas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Envio simulado</w:t>
            </w:r>
          </w:p>
        </w:tc>
      </w:tr>
      <w:tr>
        <w:trPr>
          <w:cantSplit/>
        </w:trPr>
        <w:tc>
          <w:tcPr>
            <w:tcW w:w="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Identificador único por embalagem</w:t>
            </w:r>
          </w:p>
        </w:tc>
        <w:tc>
          <w:tcPr>
            <w:tcW w:w="3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 11.903/2009 e regulamentação do SNCM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Série única garantida pelo banco; formato validado; quantidade igual à do lote embalado; código de caixa com o prefixo da empresa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Série sorteada sem conferência; quantidade livre; prefixo de exemplo</w:t>
            </w:r>
          </w:p>
        </w:tc>
      </w:tr>
      <w:tr>
        <w:trPr>
          <w:cantSplit/>
        </w:trPr>
        <w:tc>
          <w:tcPr>
            <w:tcW w:w="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IUM e distribuição só de lote certificado</w:t>
            </w:r>
          </w:p>
        </w:tc>
        <w:tc>
          <w:tcPr>
            <w:tcW w:w="3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geração e cada evento consultam a situação única do lote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só produção "liberada" na Produção</w:t>
            </w:r>
          </w:p>
        </w:tc>
      </w:tr>
      <w:tr>
        <w:trPr>
          <w:cantSplit/>
        </w:trPr>
        <w:tc>
          <w:tcPr>
            <w:tcW w:w="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verdadeiro, feito no momento da ação</w:t>
            </w:r>
          </w:p>
        </w:tc>
        <w:tc>
          <w:tcPr>
            <w:tcW w:w="3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"Declarado" só com protocolo; situação dos IUM muda depois da resposta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"Enviado" sem envio</w:t>
            </w:r>
          </w:p>
        </w:tc>
      </w:tr>
      <w:tr>
        <w:trPr>
          <w:cantSplit/>
        </w:trPr>
        <w:tc>
          <w:tcPr>
            <w:tcW w:w="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das alterações, com motivo</w:t>
            </w:r>
          </w:p>
        </w:tc>
        <w:tc>
          <w:tcPr>
            <w:tcW w:w="3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do tempo mantida; motivo obrigatório na retificação e no desfazer da agregação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do tempo existe; motivo opcional</w:t>
            </w:r>
          </w:p>
        </w:tc>
      </w:tr>
      <w:tr>
        <w:trPr>
          <w:cantSplit/>
        </w:trPr>
        <w:tc>
          <w:tcPr>
            <w:tcW w:w="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Registros de distribuição para o recolhimento</w:t>
            </w:r>
          </w:p>
        </w:tc>
        <w:tc>
          <w:tcPr>
            <w:tcW w:w="3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346 e 347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Construir</w:t>
            </w:r>
          </w:p>
        </w:tc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entrega nasce da expedição da venda; a GQ consulta as embalagens entregues por lote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Entrega sem ligação com a venda</w:t>
            </w:r>
          </w:p>
        </w:tc>
      </w:tr>
      <w:tr>
        <w:trPr>
          <w:cantSplit/>
        </w:trPr>
        <w:tc>
          <w:tcPr>
            <w:tcW w:w="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Integrações confiáveis</w:t>
            </w:r>
          </w:p>
        </w:tc>
        <w:tc>
          <w:tcPr>
            <w:tcW w:w="3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só gravação por evento; falha avisa; um só lugar para os eventos (sem repetir no Estoque)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 não lida; possível gravação dupla; duas telas</w:t>
            </w:r>
          </w:p>
        </w:tc>
      </w:tr>
      <w:tr>
        <w:trPr>
          <w:cantSplit/>
        </w:trPr>
        <w:tc>
          <w:tcPr>
            <w:tcW w:w="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Etiqueta com os dados da empresa titular</w:t>
            </w:r>
          </w:p>
        </w:tc>
        <w:tc>
          <w:tcPr>
            <w:tcW w:w="3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Normas de rotulagem (a confirmar)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do cadastro da empresa e do responsável técnico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de outra empresa no código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4. INTEGRAÇÕES COM OS OUTROS MÓDULOS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Todas as integrações seguem o requisito 16 do documento 01: </w:t>
      </w:r>
      <w:r>
        <w:rPr>
          <w:b/>
          <w:bCs/>
          <w:szCs w:val="20"/>
        </w:rPr>
        <w:t xml:space="preserve">quando falham, avisam e não deixam a operação pela metade.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14"/>
        <w:gridCol w:w="2841"/>
        <w:gridCol w:w="2370"/>
        <w:gridCol w:w="2041"/>
        <w:gridCol w:w="865"/>
      </w:tblGrid>
      <w:tr>
        <w:trPr>
          <w:tblHeader/>
          <w:cantSplit/>
        </w:trPr>
        <w:tc>
          <w:tcPr>
            <w:tcW w:w="15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</w:t>
            </w:r>
          </w:p>
        </w:tc>
        <w:tc>
          <w:tcPr>
            <w:tcW w:w="28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 Rastreabilidade recebe</w:t>
            </w:r>
          </w:p>
        </w:tc>
        <w:tc>
          <w:tcPr>
            <w:tcW w:w="23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 Rastreabilidade envia</w:t>
            </w:r>
          </w:p>
        </w:tc>
        <w:tc>
          <w:tcPr>
            <w:tcW w:w="20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</w:t>
            </w:r>
          </w:p>
        </w:tc>
        <w:tc>
          <w:tcPr>
            <w:tcW w:w="8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Trava</w:t>
            </w:r>
          </w:p>
        </w:tc>
      </w:tr>
      <w:tr>
        <w:trPr>
          <w:cantSplit/>
        </w:trPr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Produção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embalado e quantidade</w:t>
            </w:r>
          </w:p>
        </w:tc>
        <w:tc>
          <w:tcPr>
            <w:tcW w:w="2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IUM gerados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embalagem</w:t>
            </w:r>
          </w:p>
        </w:tc>
        <w:tc>
          <w:tcPr>
            <w:tcW w:w="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Estoque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única do lote</w:t>
            </w:r>
          </w:p>
        </w:tc>
        <w:tc>
          <w:tcPr>
            <w:tcW w:w="2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geração e em cada evento</w:t>
            </w:r>
          </w:p>
        </w:tc>
        <w:tc>
          <w:tcPr>
            <w:tcW w:w="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Comercial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Expedição da venda (cliente, lote, quantidade)</w:t>
            </w:r>
          </w:p>
        </w:tc>
        <w:tc>
          <w:tcPr>
            <w:tcW w:w="2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Evento de entrega declarado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expedição</w:t>
            </w:r>
          </w:p>
        </w:tc>
        <w:tc>
          <w:tcPr>
            <w:tcW w:w="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Garantia da Qualidade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Recolhimento aberto</w:t>
            </w:r>
          </w:p>
        </w:tc>
        <w:tc>
          <w:tcPr>
            <w:tcW w:w="2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embalagens entregues por lote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recolhimento</w:t>
            </w:r>
          </w:p>
        </w:tc>
        <w:tc>
          <w:tcPr>
            <w:tcW w:w="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3, 11</w:t>
            </w:r>
          </w:p>
        </w:tc>
      </w:tr>
      <w:tr>
        <w:trPr>
          <w:cantSplit/>
        </w:trPr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ANVISA (SNCM)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Protocolo ou recusa</w:t>
            </w:r>
          </w:p>
        </w:tc>
        <w:tc>
          <w:tcPr>
            <w:tcW w:w="2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Eventos assinados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cada evento</w:t>
            </w:r>
          </w:p>
        </w:tc>
        <w:tc>
          <w:tcPr>
            <w:tcW w:w="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Principal</w:t>
            </w:r>
          </w:p>
        </w:tc>
        <w:tc>
          <w:tcPr>
            <w:tcW w:w="2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da empresa, do responsável técnico, usuários, assinatura</w:t>
            </w:r>
          </w:p>
        </w:tc>
        <w:tc>
          <w:tcPr>
            <w:tcW w:w="2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etiqueta e em cada gravação</w:t>
            </w:r>
          </w:p>
        </w:tc>
        <w:tc>
          <w:tcPr>
            <w:tcW w:w="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5. QUEM FAZ O QUÊ NA RASTREABILIDADE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56"/>
        <w:gridCol w:w="3944"/>
        <w:gridCol w:w="2731"/>
      </w:tblGrid>
      <w:tr>
        <w:trPr>
          <w:tblHeader/>
          <w:cantSplit/>
        </w:trPr>
        <w:tc>
          <w:tcPr>
            <w:tcW w:w="29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39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Pode</w:t>
            </w:r>
          </w:p>
        </w:tc>
        <w:tc>
          <w:tcPr>
            <w:tcW w:w="27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Não pode</w:t>
            </w:r>
          </w:p>
        </w:tc>
      </w:tr>
      <w:tr>
        <w:trPr>
          <w:cantSplit/>
        </w:trPr>
        <w:tc>
          <w:tcPr>
            <w:tcW w:w="2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Embalagem (Produção)</w:t>
            </w:r>
          </w:p>
        </w:tc>
        <w:tc>
          <w:tcPr>
            <w:tcW w:w="3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IUM do lote certificado e montar as caixas</w:t>
            </w:r>
          </w:p>
        </w:tc>
        <w:tc>
          <w:tcPr>
            <w:tcW w:w="2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mais IUM do que o lote embalado</w:t>
            </w:r>
          </w:p>
        </w:tc>
      </w:tr>
      <w:tr>
        <w:trPr>
          <w:cantSplit/>
        </w:trPr>
        <w:tc>
          <w:tcPr>
            <w:tcW w:w="2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Expedição</w:t>
            </w:r>
          </w:p>
        </w:tc>
        <w:tc>
          <w:tcPr>
            <w:tcW w:w="3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saída, ligada à venda</w:t>
            </w:r>
          </w:p>
        </w:tc>
        <w:tc>
          <w:tcPr>
            <w:tcW w:w="2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entrega sem venda</w:t>
            </w:r>
          </w:p>
        </w:tc>
      </w:tr>
      <w:tr>
        <w:trPr>
          <w:cantSplit/>
        </w:trPr>
        <w:tc>
          <w:tcPr>
            <w:tcW w:w="2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pelas declarações (Assuntos Regulatórios ou GQ)</w:t>
            </w:r>
          </w:p>
        </w:tc>
        <w:tc>
          <w:tcPr>
            <w:tcW w:w="3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Acompanhar os protocolos e as recusas; retificar com motivo</w:t>
            </w:r>
          </w:p>
        </w:tc>
        <w:tc>
          <w:tcPr>
            <w:tcW w:w="2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Retificar o que ele mesmo registrou</w:t>
            </w:r>
          </w:p>
        </w:tc>
      </w:tr>
      <w:tr>
        <w:trPr>
          <w:cantSplit/>
        </w:trPr>
        <w:tc>
          <w:tcPr>
            <w:tcW w:w="2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as embalagens por lote num recolhimento</w:t>
            </w:r>
          </w:p>
        </w:tc>
        <w:tc>
          <w:tcPr>
            <w:tcW w:w="2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eventos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função é </w:t>
      </w:r>
      <w:r>
        <w:rPr>
          <w:b/>
          <w:bCs/>
          <w:szCs w:val="20"/>
        </w:rPr>
        <w:t xml:space="preserve">conferida no servidor, em toda gravação</w:t>
      </w:r>
      <w:r>
        <w:rPr>
          <w:szCs w:val="20"/>
        </w:rPr>
        <w:t xml:space="preserve">, e não só na tela (documento 01, requisito 15).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6. O QUE MANTER DO LEGADO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 código mostra que já funciona como deve e vale a pena levar para a nova versão </w:t>
      </w:r>
      <w:r>
        <w:rPr>
          <w:i/>
          <w:iCs/>
          <w:szCs w:val="20"/>
        </w:rPr>
        <w:t xml:space="preserve">(a confirmar nos testes)</w:t>
      </w:r>
      <w:r>
        <w:rPr>
          <w:szCs w:val="20"/>
        </w:rPr>
        <w:t xml:space="preserve">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modelo de eventos</w:t>
      </w:r>
      <w:r>
        <w:rPr>
          <w:szCs w:val="20"/>
        </w:rPr>
        <w:t xml:space="preserve"> (produção, embalagem e transporte, entrega, recebimento, finalização) e os tipos de cada um, inclusive </w:t>
      </w:r>
      <w:r>
        <w:rPr>
          <w:b/>
          <w:bCs/>
          <w:szCs w:val="20"/>
        </w:rPr>
        <w:t xml:space="preserve">recolhimento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agregação</w:t>
      </w:r>
      <w:r>
        <w:rPr>
          <w:szCs w:val="20"/>
        </w:rPr>
        <w:t xml:space="preserve"> em caixas, com caixa dentro de caixa, sem repetir IUM.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retificação</w:t>
      </w:r>
      <w:r>
        <w:rPr>
          <w:szCs w:val="20"/>
        </w:rPr>
        <w:t xml:space="preserve"> que guarda o evento original ligado ao substituto.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linha do tempo</w:t>
      </w:r>
      <w:r>
        <w:rPr>
          <w:szCs w:val="20"/>
        </w:rPr>
        <w:t xml:space="preserve"> de cada IUM.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etiqueta com DataMatrix</w:t>
      </w:r>
      <w:r>
        <w:rPr>
          <w:szCs w:val="20"/>
        </w:rPr>
        <w:t xml:space="preserve">, com os dados do cadastro.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geração que </w:t>
      </w:r>
      <w:r>
        <w:rPr>
          <w:b/>
          <w:bCs/>
          <w:szCs w:val="20"/>
        </w:rPr>
        <w:t xml:space="preserve">só aceita produção liberada</w:t>
      </w:r>
      <w:r>
        <w:rPr>
          <w:szCs w:val="20"/>
        </w:rPr>
        <w:t xml:space="preserve">, acrescentando a certificação.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7. PONTOS PARA VALIDAR COM ASSUNTOS REGULATÓRIOS E A GQ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 norma do SNCM em vigor e os prazos que valem para a empresa. 2. O certificado digital e o acesso ao serviço do SNCM. 3. O formato do IUM e do código das caixas. 4. Quem responde pelas declarações e pelas retificações. 5. Os dados obrigatórios da etiqueta.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NORMAS:INICIO --&gt;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A ANVISA PEDE: TEXTOS CITADOS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Texto literal das normas citadas em cada tema, extraído dos arquivos da pasta </w:t>
      </w:r>
      <w:r>
        <w:rPr>
          <w:szCs w:val="20"/>
        </w:rPr>
        <w:t xml:space="preserve">Documentação/</w:t>
      </w:r>
      <w:r>
        <w:rPr>
          <w:szCs w:val="20"/>
        </w:rPr>
        <w:t xml:space="preserve"> (RDC nº 658/2022 em português e Guia nº 33/2020) por </w:t>
      </w:r>
      <w:r>
        <w:rPr>
          <w:szCs w:val="20"/>
        </w:rPr>
        <w:t xml:space="preserve">homologacao/ferramentas/citar_normas_diagnostico.py</w:t>
      </w:r>
      <w:r>
        <w:rPr>
          <w:szCs w:val="20"/>
        </w:rPr>
        <w:t xml:space="preserve">. "(...)" marca trechos omitidos. No portal, clique na referência de cada tema para ver o texto.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 · Eventos declarados ao SNCM, com protocolo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A Lei 11.903/2009 criou o Sistema Nacional de Controle de Medicamentos (SNCM). A regulamentação da ANVISA define os eventos, o formato e os prazos. O documento da equipe cita a RDC 886/2024, que reorganizou o SNCM: confirmar com Assuntos Regulatórios o texto e os prazos em vigor.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2 · Identificador único por embalagem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identificador único de medicamento (IUM) e o seu formato são definidos pela regulamentação do SNCM. Confirmar com Assuntos Regulatórios o padrão exigido (GS1, identificadores de cada dado).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3 · IUM e distribuição só de lote certificado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XV - os medicamentos não sejam comercializados ou distribuídos antes da Pessoa Delegada pelo Sistema de Gestão da Qualidade Farmacêutica ter certificado que cada lote do produto foi produzido e controlado de acordo com os requerimentos de registro e quaisquer outras normas relevantes à produção, ao controle e à liberação de medicamentos;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4 · Registro verdadeiro, feito no momento da ação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124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124. Os registros devem ser realizados ou completados sempre que uma ação for realizada e de modo a permitir que todas as atividades significativas relativas à fabricação de medicamentos sejam rastreáveis.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5 · Histórico das alterações, com motivo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125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125. Toda a alteração feita no registro de um documento deve ser assinada e datada, devendo permitir a leitura da informação original. &gt; &gt; Parágrafo único. Quando apropriado, o motivo da alteração deve ser registrado.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6 · Registros de distribuição para o recolhimento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346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346. Os registros de distribuição de lote/produto devem estar prontamente disponíveis para as pessoas responsáveis pelo recolhimento.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347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347. Os registros de distribuição devem conter informações suficientes sobre atacadistas e clientes diretamente abastecidos, mesmo quando se trate de produtos exportados e amostras médicas.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7 · Integrações confiáveis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9.3.2.3 (Requisitos Operacionais)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Dados – requisitos relacionados ao manuseio de dados, considerando-se o seu impacto na segurança do paciente, na qualidade do produto e na integridade dos dados, abrangendo os seguintes pontos: &gt; - Definição dos registros eletrônicos; &gt; - Definição dos tipos de dados, incluindo a identificação das características, formatação, parâmetros críticos, intervalo e formato de datas válidos, limites e exatidão e assim por diante; &gt; - Onde e como os dados serão gravados (ex.: bancos de dados relacionais, arquivos criptografados etc.) &gt; - Campos necessários; &gt; - Migração de dados (importação e exportação); &gt; - Entrada de dados e subsequente edição; &gt; - Backup e recuperação; &gt; - Requisitos para arquivamento; &gt; - Segurança dos dados e integridade. &gt; &gt; Interfaces – devem ser definidas (se aplicável), abrangendo os seguintes pontos: &gt; - Interface(s) com o usuário – definidas em termos de níveis de acesso (operador, administrador, gerente do sistema) ou funções quando apropriado; &gt; - Interface(s) com outros sistemas; &gt; - Interface(s) com equipamentos, tais como sensores ou atuadores. Isto pode incluir listas de I/O (entrada e saída) para sistemas utilizados para controle de processos; &gt; - Forma de entrada e saída de dados pelos usuários (ex.: teclado, leitor de código de barras, impressoras etc.).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8 · Etiqueta com os dados da empresa titular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A rotulagem de medicamentos (razão social, CNPJ, endereço, responsável técnico e SAC do titular do registro) é definida por norma própria da ANVISA, que não está na pasta Documentação. Confirmar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NORMAS:FIM --&gt;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Rastreabilidade – A Rastreabilidade ideal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Rastreabilidade – A Rastreabilidade ideal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