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Controle da Qualidade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Fora do menu: visão geral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31/10/2026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PARA QUE SERVE ESTE MENU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A seção </w:t>
      </w:r>
      <w:r>
        <w:rPr>
          <w:b/>
          <w:bCs/>
          <w:szCs w:val="20"/>
        </w:rPr>
        <w:t xml:space="preserve">Fora do menu</w:t>
      </w:r>
      <w:r>
        <w:rPr>
          <w:szCs w:val="20"/>
        </w:rPr>
        <w:t xml:space="preserve"> reúne as telas do Controle da Qualidade que existem no código mas não têm item próprio no menu: duas que não abrem e três protótipos de avaliação de fornecedor. Esta seção descreve </w:t>
      </w:r>
      <w:r>
        <w:rPr>
          <w:b/>
          <w:bCs/>
          <w:szCs w:val="20"/>
        </w:rPr>
        <w:t xml:space="preserve">cada uma das 2 telas com página própria como o sistema entregue as oferece</w:t>
      </w:r>
      <w:r>
        <w:rPr>
          <w:szCs w:val="20"/>
        </w:rPr>
        <w:t xml:space="preserve">, lidas do código e conferidas nas rodadas de teste de tela (legado).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Cada tela tem a sua página, com o manual do usuário, os campos, os botões, as mensagens, as regras de negócio, o fluxo, as falhas e os casos de teste. Rascunho para revisão: toda afirmação traz a fonte no código ou no teste, e o que ainda não foi visto numa tela real está marcado "A confirmar no teste".</w:t>
      </w:r>
    </w:p>
    <w:p>
      <w:pPr>
        <w:keepNext/>
        <w:spacing w:before="120" w:after="0" w:line="360" w:lineRule="auto"/>
        <w:rPr>
          <w:b/>
          <w:bCs/>
          <w:color w:val="1F497D" w:themeColor="text2"/>
          <w:szCs w:val="20"/>
        </w:rPr>
      </w:pPr>
      <w:r>
        <w:rPr>
          <w:b/>
          <w:bCs/>
          <w:color w:val="1F497D" w:themeColor="text2"/>
          <w:szCs w:val="20"/>
        </w:rPr>
        <w:t xml:space="preserve">Como ler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Situação de uma regra: </w:t>
      </w:r>
      <w:r>
        <w:rPr>
          <w:b/>
          <w:bCs/>
          <w:szCs w:val="20"/>
        </w:rPr>
        <w:t xml:space="preserve">Extraída</w:t>
      </w:r>
      <w:r>
        <w:rPr>
          <w:szCs w:val="20"/>
        </w:rPr>
        <w:t xml:space="preserve"> (vem do código), </w:t>
      </w:r>
      <w:r>
        <w:rPr>
          <w:b/>
          <w:bCs/>
          <w:szCs w:val="20"/>
        </w:rPr>
        <w:t xml:space="preserve">Validada em parte</w:t>
      </w:r>
      <w:r>
        <w:rPr>
          <w:szCs w:val="20"/>
        </w:rPr>
        <w:t xml:space="preserve">, </w:t>
      </w:r>
      <w:r>
        <w:rPr>
          <w:b/>
          <w:bCs/>
          <w:szCs w:val="20"/>
        </w:rPr>
        <w:t xml:space="preserve">Validada</w:t>
      </w:r>
      <w:r>
        <w:rPr>
          <w:szCs w:val="20"/>
        </w:rPr>
        <w:t xml:space="preserve"> (confirmada na tela) ou </w:t>
      </w:r>
      <w:r>
        <w:rPr>
          <w:b/>
          <w:bCs/>
          <w:szCs w:val="20"/>
        </w:rPr>
        <w:t xml:space="preserve">Contradita</w:t>
      </w:r>
      <w:r>
        <w:rPr>
          <w:szCs w:val="20"/>
        </w:rPr>
        <w:t xml:space="preserve"> (a tela mostrou outra coisa). Situação da tela: Falha grave (defeito de gravidade Alta aberto na própria tela), Funciona com falhas (só Média ou Baixa), Funciona, Bloqueada no teste, Não abre, Protótipo.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AS 5 TELAS</w:t>
      </w:r>
    </w:p>
    <w:p>
      <w:pPr>
        <w:keepNext/>
        <w:spacing w:after="0" w:line="360" w:lineRule="auto"/>
      </w:pP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464"/>
        <w:gridCol w:w="2764"/>
        <w:gridCol w:w="1590"/>
        <w:gridCol w:w="4813"/>
      </w:tblGrid>
      <w:tr>
        <w:trPr>
          <w:tblHeader/>
          <w:cantSplit/>
        </w:trPr>
        <w:tc>
          <w:tcPr>
            <w:tcW w:w="46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#</w:t>
            </w:r>
          </w:p>
        </w:tc>
        <w:tc>
          <w:tcPr>
            <w:tcW w:w="276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Tela no menu</w:t>
            </w:r>
          </w:p>
        </w:tc>
        <w:tc>
          <w:tcPr>
            <w:tcW w:w="159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</w:t>
            </w:r>
          </w:p>
        </w:tc>
        <w:tc>
          <w:tcPr>
            <w:tcW w:w="481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Nota</w:t>
            </w:r>
          </w:p>
        </w:tc>
      </w:tr>
      <w:tr>
        <w:trPr>
          <w:cantSplit/>
        </w:trPr>
        <w:tc>
          <w:tcPr>
            <w:tcW w:w="4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</w:t>
            </w:r>
          </w:p>
        </w:tc>
        <w:tc>
          <w:tcPr>
            <w:tcW w:w="27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Consultar Coletas Pendentes de Programação</w:t>
            </w:r>
          </w:p>
        </w:tc>
        <w:tc>
          <w:tcPr>
            <w:tcW w:w="15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abre</w:t>
            </w:r>
          </w:p>
        </w:tc>
        <w:tc>
          <w:tcPr>
            <w:tcW w:w="48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 endereço: nenhuma ação devolve a página; nunca foi vista funcionando.</w:t>
            </w:r>
          </w:p>
        </w:tc>
      </w:tr>
      <w:tr>
        <w:trPr>
          <w:cantSplit/>
        </w:trPr>
        <w:tc>
          <w:tcPr>
            <w:tcW w:w="4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</w:t>
            </w:r>
          </w:p>
        </w:tc>
        <w:tc>
          <w:tcPr>
            <w:tcW w:w="27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Verificação de Amostragem (segunda versão)</w:t>
            </w:r>
          </w:p>
        </w:tc>
        <w:tc>
          <w:tcPr>
            <w:tcW w:w="15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Bloqueada no teste</w:t>
            </w:r>
          </w:p>
        </w:tc>
        <w:tc>
          <w:tcPr>
            <w:tcW w:w="48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Versão antiga do cadastro; recusa todos os perfis, até o administrador, com HTTP 200 (DV-CQ-046); nunca vista.</w:t>
            </w:r>
          </w:p>
        </w:tc>
      </w:tr>
      <w:tr>
        <w:trPr>
          <w:cantSplit/>
        </w:trPr>
        <w:tc>
          <w:tcPr>
            <w:tcW w:w="4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3</w:t>
            </w:r>
          </w:p>
        </w:tc>
        <w:tc>
          <w:tcPr>
            <w:tcW w:w="27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Avaliação Fornecedores</w:t>
            </w:r>
          </w:p>
        </w:tc>
        <w:tc>
          <w:tcPr>
            <w:tcW w:w="15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Protótipo</w:t>
            </w:r>
          </w:p>
        </w:tc>
        <w:tc>
          <w:tcPr>
            <w:tcW w:w="48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 lógica: linha fixa de exemplo, não grava. Sem página própria, por decisão do responsável.</w:t>
            </w:r>
          </w:p>
        </w:tc>
      </w:tr>
      <w:tr>
        <w:trPr>
          <w:cantSplit/>
        </w:trPr>
        <w:tc>
          <w:tcPr>
            <w:tcW w:w="4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4</w:t>
            </w:r>
          </w:p>
        </w:tc>
        <w:tc>
          <w:tcPr>
            <w:tcW w:w="27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Avaliação de Desempenho da Qualidade dos Fornecedores</w:t>
            </w:r>
          </w:p>
        </w:tc>
        <w:tc>
          <w:tcPr>
            <w:tcW w:w="15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Protótipo</w:t>
            </w:r>
          </w:p>
        </w:tc>
        <w:tc>
          <w:tcPr>
            <w:tcW w:w="48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 lógica: linha fixa de exemplo, não grava. Sem página própria, por decisão do responsável.</w:t>
            </w:r>
          </w:p>
        </w:tc>
      </w:tr>
      <w:tr>
        <w:trPr>
          <w:cantSplit/>
        </w:trPr>
        <w:tc>
          <w:tcPr>
            <w:tcW w:w="4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5</w:t>
            </w:r>
          </w:p>
        </w:tc>
        <w:tc>
          <w:tcPr>
            <w:tcW w:w="27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Gestão de Avaliação</w:t>
            </w:r>
          </w:p>
        </w:tc>
        <w:tc>
          <w:tcPr>
            <w:tcW w:w="15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Protótipo</w:t>
            </w:r>
          </w:p>
        </w:tc>
        <w:tc>
          <w:tcPr>
            <w:tcW w:w="48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 lógica: linha fixa de exemplo, não grava. Sem página própria, por decisão do responsável.</w:t>
            </w:r>
          </w:p>
        </w:tc>
      </w:tr>
    </w:tbl>
    <w:p>
      <w:pPr>
        <w:spacing w:after="0" w:line="360" w:lineRule="auto"/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O QUE JÁ SABEMOS SOBRE ESTE MENU</w:t>
      </w:r>
    </w:p>
    <w:p>
      <w:pPr>
        <w:keepNext/>
        <w:spacing w:after="0" w:line="360" w:lineRule="auto"/>
      </w:pP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Situação das telas (inventário, rodada 2 em andamento em 28/10/2026):</w:t>
      </w:r>
      <w:r>
        <w:rPr>
          <w:szCs w:val="20"/>
        </w:rPr>
        <w:t xml:space="preserve"> Não abre: 1; Bloqueada no teste: 1; Protótipo: 3 (atualizado em 31/10/2026).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Testes feitos em 31/10/2026 (só leitura, administrador):</w:t>
      </w:r>
      <w:r>
        <w:rPr>
          <w:szCs w:val="20"/>
        </w:rPr>
        <w:t xml:space="preserve"> a consulta de coletas pendentes responde HTTP 404 nos três caminhos possíveis (CT-CQ-F01-01, passou) e o segundo item "Verificação de Amostragens" do menu leva à tela de sempre, enquanto a segunda versão pelo endereço recusa o administrador com HTTP 200 (CT-CQ-F02-01, passou; DV-CQ-046).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Acesso:</w:t>
      </w:r>
      <w:r>
        <w:rPr>
          <w:szCs w:val="20"/>
        </w:rPr>
        <w:t xml:space="preserve"> as regras de acesso de cada tela estão na seção "Segurança e acesso" da própria tela.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COMO USAR ESTA SEÇÃO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Escolha a tela na barra lateral. Cada tela tem cinco páginas: </w:t>
      </w:r>
      <w:r>
        <w:rPr>
          <w:b/>
          <w:bCs/>
          <w:szCs w:val="20"/>
        </w:rPr>
        <w:t xml:space="preserve">Análise</w:t>
      </w:r>
      <w:r>
        <w:rPr>
          <w:szCs w:val="20"/>
        </w:rPr>
        <w:t xml:space="preserve">, </w:t>
      </w:r>
      <w:r>
        <w:rPr>
          <w:b/>
          <w:bCs/>
          <w:szCs w:val="20"/>
        </w:rPr>
        <w:t xml:space="preserve">Manual do usuário</w:t>
      </w:r>
      <w:r>
        <w:rPr>
          <w:szCs w:val="20"/>
        </w:rPr>
        <w:t xml:space="preserve">, </w:t>
      </w:r>
      <w:r>
        <w:rPr>
          <w:b/>
          <w:bCs/>
          <w:szCs w:val="20"/>
        </w:rPr>
        <w:t xml:space="preserve">Fluxos</w:t>
      </w:r>
      <w:r>
        <w:rPr>
          <w:szCs w:val="20"/>
        </w:rPr>
        <w:t xml:space="preserve">, </w:t>
      </w:r>
      <w:r>
        <w:rPr>
          <w:b/>
          <w:bCs/>
          <w:szCs w:val="20"/>
        </w:rPr>
        <w:t xml:space="preserve">Regras de negócio</w:t>
      </w:r>
      <w:r>
        <w:rPr>
          <w:szCs w:val="20"/>
        </w:rPr>
        <w:t xml:space="preserve"> e </w:t>
      </w:r>
      <w:r>
        <w:rPr>
          <w:b/>
          <w:bCs/>
          <w:szCs w:val="20"/>
        </w:rPr>
        <w:t xml:space="preserve">Anvisa</w:t>
      </w:r>
      <w:r>
        <w:rPr>
          <w:szCs w:val="20"/>
        </w:rPr>
        <w:t xml:space="preserve">, cada uma com o Word para baixar; e os botões </w:t>
      </w:r>
      <w:r>
        <w:rPr>
          <w:b/>
          <w:bCs/>
          <w:szCs w:val="20"/>
        </w:rPr>
        <w:t xml:space="preserve">Passo a passo</w:t>
      </w:r>
      <w:r>
        <w:rPr>
          <w:szCs w:val="20"/>
        </w:rPr>
        <w:t xml:space="preserve"> (o roteiro de execução) e </w:t>
      </w:r>
      <w:r>
        <w:rPr>
          <w:b/>
          <w:bCs/>
          <w:szCs w:val="20"/>
        </w:rPr>
        <w:t xml:space="preserve">Ideal</w:t>
      </w:r>
      <w:r>
        <w:rPr>
          <w:szCs w:val="20"/>
        </w:rPr>
        <w:t xml:space="preserve">.</w:t>
      </w: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Controle da Qualidade – Fora do menu: visão geral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Controle da Qualidade – Fora do menu: visão geral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