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Relatório de testes</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16/10/2026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GARANTIA DA QUALIDADE: RELATÓRIO DE TESTES DE TELA</w:t>
      </w:r>
    </w:p>
    <w:p>
      <w:pPr>
        <w:keepNext/>
        <w:spacing w:after="0" w:line="360" w:lineRule="auto"/>
      </w:pPr>
    </w:p>
    <w:p>
      <w:pPr>
        <w:spacing w:after="0" w:line="360" w:lineRule="auto"/>
        <w:rPr>
          <w:szCs w:val="20"/>
        </w:rPr>
      </w:pPr>
      <w:r>
        <w:rPr>
          <w:szCs w:val="20"/>
        </w:rPr>
        <w:t xml:space="preserve">Atualizado em 15-16/10/2026 · Versão testada: 3.5.1 (legado do fornecedor) · Ambiente de teste · Executor: agente, no computador da pessoa, pela VPN.</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Situação geral</w:t>
      </w:r>
    </w:p>
    <w:tbl>
      <w:tblPr>
        <w:tblStyle w:val="Tabelacomgrade"/>
        <w:tblW w:w="9631" w:type="dxa"/>
        <w:tblLayout w:type="fixed"/>
        <w:tblLook w:val="04A0" w:firstRow="1" w:lastRow="0" w:firstColumn="1" w:lastColumn="0" w:noHBand="0" w:noVBand="1"/>
      </w:tblPr>
      <w:tblGrid>
        <w:gridCol w:w="2847"/>
        <w:gridCol w:w="1784"/>
        <w:gridCol w:w="824"/>
        <w:gridCol w:w="929"/>
        <w:gridCol w:w="1980"/>
        <w:gridCol w:w="1267"/>
      </w:tblGrid>
      <w:tr>
        <w:trPr>
          <w:tblHeader/>
          <w:cantSplit/>
        </w:trPr>
        <w:tc>
          <w:tcPr>
            <w:tcW w:w="2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w:t>
            </w:r>
          </w:p>
        </w:tc>
        <w:tc>
          <w:tcPr>
            <w:tcW w:w="17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8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9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Passou</w:t>
            </w:r>
          </w:p>
        </w:tc>
        <w:tc>
          <w:tcPr>
            <w:tcW w:w="1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Falhou (norma/defeito)</w:t>
            </w:r>
          </w:p>
        </w:tc>
        <w:tc>
          <w:tcPr>
            <w:tcW w:w="1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Bloqueado</w:t>
            </w:r>
          </w:p>
        </w:tc>
      </w:tr>
      <w:tr>
        <w:trPr>
          <w:cantSplit/>
        </w:trPr>
        <w:tc>
          <w:tcPr>
            <w:tcW w:w="2847" w:type="dxa"/>
          </w:tcPr>
          <w:p>
            <w:pPr>
              <w:widowControl/>
              <w:spacing w:after="0" w:line="276" w:lineRule="auto"/>
              <w:jc w:val="left"/>
              <w:rPr>
                <w:sz w:val="18"/>
                <w:szCs w:val="18"/>
              </w:rPr>
            </w:pPr>
            <w:r>
              <w:rPr>
                <w:sz w:val="18"/>
                <w:szCs w:val="20"/>
              </w:rPr>
              <w:t xml:space="preserve">1: prioridade Alta, por risco</w:t>
            </w:r>
          </w:p>
        </w:tc>
        <w:tc>
          <w:tcPr>
            <w:tcW w:w="1784" w:type="dxa"/>
          </w:tcPr>
          <w:p>
            <w:pPr>
              <w:widowControl/>
              <w:spacing w:after="0" w:line="276" w:lineRule="auto"/>
              <w:jc w:val="left"/>
              <w:rPr>
                <w:sz w:val="18"/>
                <w:szCs w:val="18"/>
              </w:rPr>
            </w:pPr>
            <w:r>
              <w:rPr>
                <w:sz w:val="18"/>
                <w:szCs w:val="20"/>
              </w:rPr>
              <w:t xml:space="preserve">12/10/2026</w:t>
            </w:r>
          </w:p>
        </w:tc>
        <w:tc>
          <w:tcPr>
            <w:tcW w:w="824" w:type="dxa"/>
          </w:tcPr>
          <w:p>
            <w:pPr>
              <w:widowControl/>
              <w:spacing w:after="0" w:line="276" w:lineRule="auto"/>
              <w:jc w:val="left"/>
              <w:rPr>
                <w:sz w:val="18"/>
                <w:szCs w:val="18"/>
              </w:rPr>
            </w:pPr>
            <w:r>
              <w:rPr>
                <w:sz w:val="18"/>
                <w:szCs w:val="20"/>
              </w:rPr>
              <w:t xml:space="preserve">12</w:t>
            </w:r>
          </w:p>
        </w:tc>
        <w:tc>
          <w:tcPr>
            <w:tcW w:w="929" w:type="dxa"/>
          </w:tcPr>
          <w:p>
            <w:pPr>
              <w:widowControl/>
              <w:spacing w:after="0" w:line="276" w:lineRule="auto"/>
              <w:jc w:val="left"/>
              <w:rPr>
                <w:sz w:val="18"/>
                <w:szCs w:val="18"/>
              </w:rPr>
            </w:pPr>
            <w:r>
              <w:rPr>
                <w:sz w:val="18"/>
                <w:szCs w:val="20"/>
              </w:rPr>
              <w:t xml:space="preserve">1</w:t>
            </w:r>
          </w:p>
        </w:tc>
        <w:tc>
          <w:tcPr>
            <w:tcW w:w="1980" w:type="dxa"/>
          </w:tcPr>
          <w:p>
            <w:pPr>
              <w:widowControl/>
              <w:spacing w:after="0" w:line="276" w:lineRule="auto"/>
              <w:jc w:val="left"/>
              <w:rPr>
                <w:sz w:val="18"/>
                <w:szCs w:val="18"/>
              </w:rPr>
            </w:pPr>
            <w:r>
              <w:rPr>
                <w:sz w:val="18"/>
                <w:szCs w:val="20"/>
              </w:rPr>
              <w:t xml:space="preserve">10</w:t>
            </w:r>
          </w:p>
        </w:tc>
        <w:tc>
          <w:tcPr>
            <w:tcW w:w="1267" w:type="dxa"/>
          </w:tcPr>
          <w:p>
            <w:pPr>
              <w:widowControl/>
              <w:spacing w:after="0" w:line="276" w:lineRule="auto"/>
              <w:jc w:val="left"/>
              <w:rPr>
                <w:sz w:val="18"/>
                <w:szCs w:val="18"/>
              </w:rPr>
            </w:pPr>
            <w:r>
              <w:rPr>
                <w:sz w:val="18"/>
                <w:szCs w:val="20"/>
              </w:rPr>
              <w:t xml:space="preserve">1</w:t>
            </w:r>
          </w:p>
        </w:tc>
      </w:tr>
      <w:tr>
        <w:trPr>
          <w:cantSplit/>
        </w:trPr>
        <w:tc>
          <w:tcPr>
            <w:tcW w:w="2847" w:type="dxa"/>
          </w:tcPr>
          <w:p>
            <w:pPr>
              <w:widowControl/>
              <w:spacing w:after="0" w:line="276" w:lineRule="auto"/>
              <w:jc w:val="left"/>
              <w:rPr>
                <w:sz w:val="18"/>
                <w:szCs w:val="18"/>
              </w:rPr>
            </w:pPr>
            <w:r>
              <w:rPr>
                <w:sz w:val="18"/>
                <w:szCs w:val="20"/>
              </w:rPr>
              <w:t xml:space="preserve">2: os 15 Alta restantes (CAPA/preventivo, autoinspeção, treinamento, registro do produto)</w:t>
            </w:r>
          </w:p>
        </w:tc>
        <w:tc>
          <w:tcPr>
            <w:tcW w:w="1784" w:type="dxa"/>
          </w:tcPr>
          <w:p>
            <w:pPr>
              <w:widowControl/>
              <w:spacing w:after="0" w:line="276" w:lineRule="auto"/>
              <w:jc w:val="left"/>
              <w:rPr>
                <w:sz w:val="18"/>
                <w:szCs w:val="18"/>
              </w:rPr>
            </w:pPr>
            <w:r>
              <w:rPr>
                <w:sz w:val="18"/>
                <w:szCs w:val="20"/>
              </w:rPr>
              <w:t xml:space="preserve">15-16/10/2026</w:t>
            </w:r>
          </w:p>
        </w:tc>
        <w:tc>
          <w:tcPr>
            <w:tcW w:w="824" w:type="dxa"/>
          </w:tcPr>
          <w:p>
            <w:pPr>
              <w:widowControl/>
              <w:spacing w:after="0" w:line="276" w:lineRule="auto"/>
              <w:jc w:val="left"/>
              <w:rPr>
                <w:sz w:val="18"/>
                <w:szCs w:val="18"/>
              </w:rPr>
            </w:pPr>
            <w:r>
              <w:rPr>
                <w:sz w:val="18"/>
                <w:szCs w:val="20"/>
              </w:rPr>
              <w:t xml:space="preserve">15</w:t>
            </w:r>
          </w:p>
        </w:tc>
        <w:tc>
          <w:tcPr>
            <w:tcW w:w="929" w:type="dxa"/>
          </w:tcPr>
          <w:p>
            <w:pPr>
              <w:widowControl/>
              <w:spacing w:after="0" w:line="276" w:lineRule="auto"/>
              <w:jc w:val="left"/>
              <w:rPr>
                <w:sz w:val="18"/>
                <w:szCs w:val="18"/>
              </w:rPr>
            </w:pPr>
            <w:r>
              <w:rPr>
                <w:sz w:val="18"/>
                <w:szCs w:val="20"/>
              </w:rPr>
              <w:t xml:space="preserve">0</w:t>
            </w:r>
          </w:p>
        </w:tc>
        <w:tc>
          <w:tcPr>
            <w:tcW w:w="1980" w:type="dxa"/>
          </w:tcPr>
          <w:p>
            <w:pPr>
              <w:widowControl/>
              <w:spacing w:after="0" w:line="276" w:lineRule="auto"/>
              <w:jc w:val="left"/>
              <w:rPr>
                <w:sz w:val="18"/>
                <w:szCs w:val="18"/>
              </w:rPr>
            </w:pPr>
            <w:r>
              <w:rPr>
                <w:sz w:val="18"/>
                <w:szCs w:val="20"/>
              </w:rPr>
              <w:t xml:space="preserve">3</w:t>
            </w:r>
          </w:p>
        </w:tc>
        <w:tc>
          <w:tcPr>
            <w:tcW w:w="1267" w:type="dxa"/>
          </w:tcPr>
          <w:p>
            <w:pPr>
              <w:widowControl/>
              <w:spacing w:after="0" w:line="276" w:lineRule="auto"/>
              <w:jc w:val="left"/>
              <w:rPr>
                <w:sz w:val="18"/>
                <w:szCs w:val="18"/>
              </w:rPr>
            </w:pPr>
            <w:r>
              <w:rPr>
                <w:sz w:val="18"/>
                <w:szCs w:val="20"/>
              </w:rPr>
              <w:t xml:space="preserve">12</w:t>
            </w:r>
          </w:p>
        </w:tc>
      </w:tr>
    </w:tbl>
    <w:p>
      <w:pPr>
        <w:spacing w:after="0" w:line="360" w:lineRule="auto"/>
      </w:pPr>
    </w:p>
    <w:p>
      <w:pPr>
        <w:spacing w:after="0" w:line="360" w:lineRule="auto"/>
        <w:rPr>
          <w:szCs w:val="20"/>
        </w:rPr>
      </w:pPr>
      <w:r>
        <w:rPr>
          <w:szCs w:val="20"/>
        </w:rPr>
        <w:t xml:space="preserve">Dos 93 casos do plano (</w:t>
      </w:r>
      <w:r>
        <w:rPr>
          <w:szCs w:val="20"/>
        </w:rPr>
        <w:t xml:space="preserve">08-plano-de-testes.md</w:t>
      </w:r>
      <w:r>
        <w:rPr>
          <w:szCs w:val="20"/>
        </w:rPr>
        <w:t xml:space="preserve">), 27 foram executados (12 + 15). Faltam os de prioridade Média e Baixa, e os 12 bloqueados da rodada 2 dependem de 5 defeitos novos (DV-GQ-011 a 015) serem corrigidos ou contornados.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 rodada 1 mostrou, em linguagem simples</w:t>
      </w:r>
    </w:p>
    <w:p>
      <w:pPr>
        <w:spacing w:after="0" w:line="360" w:lineRule="auto"/>
        <w:rPr>
          <w:szCs w:val="20"/>
        </w:rPr>
      </w:pPr>
      <w:r>
        <w:rPr>
          <w:szCs w:val="20"/>
        </w:rPr>
        <w:t xml:space="preserve">1. </w:t>
      </w:r>
      <w:r>
        <w:rPr>
          <w:b/>
          <w:bCs/>
          <w:szCs w:val="20"/>
        </w:rPr>
        <w:t xml:space="preserve">A proteção é só visual.</w:t>
      </w:r>
      <w:r>
        <w:rPr>
          <w:szCs w:val="20"/>
        </w:rPr>
        <w:t xml:space="preserve"> Em três etapas (monitoramento do plano corretivo, liberação da avaliação de mudança e finalização do plano de mudança), o botão de aprovar some da tela quando falta algo. Mas, se a mesma operação é enviada sem o botão, o servidor aceita. Resultado: plano aprovado com ação pendente, avaliação liberada sem parecer de nenhuma área, mudança aceita sem a ação executada. 2. </w:t>
      </w:r>
      <w:r>
        <w:rPr>
          <w:b/>
          <w:bCs/>
          <w:szCs w:val="20"/>
        </w:rPr>
        <w:t xml:space="preserve">A GQ aprova o que a área não aceitou.</w:t>
      </w:r>
      <w:r>
        <w:rPr>
          <w:szCs w:val="20"/>
        </w:rPr>
        <w:t xml:space="preserve"> Pelo botão normal, a mudança que uma área marcou "Não Aceito" segue para o plano de ação. 3. </w:t>
      </w:r>
      <w:r>
        <w:rPr>
          <w:b/>
          <w:bCs/>
          <w:szCs w:val="20"/>
        </w:rPr>
        <w:t xml:space="preserve">Qualquer usuário se torna Nível 3.</w:t>
      </w:r>
      <w:r>
        <w:rPr>
          <w:szCs w:val="20"/>
        </w:rPr>
        <w:t xml:space="preserve"> Um usuário de consulta (Nível 1) abriu a tela Grupo Perfil, se colocou no Nível 3 e o sistema gravou. O Nível 3 é quem aprova e libera. (Desfeito pelo teste no mesmo dia.) 4. </w:t>
      </w:r>
      <w:r>
        <w:rPr>
          <w:b/>
          <w:bCs/>
          <w:szCs w:val="20"/>
        </w:rPr>
        <w:t xml:space="preserve">O histórico tem buracos.</w:t>
      </w:r>
      <w:r>
        <w:rPr>
          <w:szCs w:val="20"/>
        </w:rPr>
        <w:t xml:space="preserve"> O cancelamento do desvio e a aprovação final da mudança com produto não aparecem. Existe um caminho oculto (</w:t>
      </w:r>
      <w:r>
        <w:rPr>
          <w:szCs w:val="20"/>
        </w:rPr>
        <w:t xml:space="preserve">ExcluirSolicitacaoMudanca</w:t>
      </w:r>
      <w:r>
        <w:rPr>
          <w:szCs w:val="20"/>
        </w:rPr>
        <w:t xml:space="preserve">) que cancela mudança sem justificativa e sem histórico. 5. </w:t>
      </w:r>
      <w:r>
        <w:rPr>
          <w:b/>
          <w:bCs/>
          <w:szCs w:val="20"/>
        </w:rPr>
        <w:t xml:space="preserve">Usuário de consulta incluiu um desvio.</w:t>
      </w:r>
      <w:r>
        <w:rPr>
          <w:szCs w:val="20"/>
        </w:rPr>
        <w:t xml:space="preserve"> As ações do perfil (incluir, alterar) não limitam a tela. 6. </w:t>
      </w:r>
      <w:r>
        <w:rPr>
          <w:b/>
          <w:bCs/>
          <w:szCs w:val="20"/>
        </w:rPr>
        <w:t xml:space="preserve">O desvio não se liga ao lote.</w:t>
      </w:r>
      <w:r>
        <w:rPr>
          <w:szCs w:val="20"/>
        </w:rPr>
        <w:t xml:space="preserve"> A busca de produto e de material não devolve nada neste ambiente; só equipamento aparece. O desvio é salvo sem item. Não foi possível testar se um desvio aberto afeta o lote. 7. </w:t>
      </w:r>
      <w:r>
        <w:rPr>
          <w:b/>
          <w:bCs/>
          <w:szCs w:val="20"/>
        </w:rPr>
        <w:t xml:space="preserve">Ponto bom:</w:t>
      </w:r>
      <w:r>
        <w:rPr>
          <w:szCs w:val="20"/>
        </w:rPr>
        <w:t xml:space="preserve"> a data de abertura do desvio é a do servidor (adulterar a data na tela não funcionou). 8. </w:t>
      </w:r>
      <w:r>
        <w:rPr>
          <w:b/>
          <w:bCs/>
          <w:szCs w:val="20"/>
        </w:rPr>
        <w:t xml:space="preserve">Acompanhamento RD abre sem login</w:t>
      </w:r>
      <w:r>
        <w:rPr>
          <w:szCs w:val="20"/>
        </w:rPr>
        <w:t xml:space="preserve"> (a impressão não entrega dado).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Casos executados</w:t>
      </w:r>
    </w:p>
    <w:tbl>
      <w:tblPr>
        <w:tblStyle w:val="Tabelacomgrade"/>
        <w:tblW w:w="9631" w:type="dxa"/>
        <w:tblLayout w:type="fixed"/>
        <w:tblLook w:val="04A0" w:firstRow="1" w:lastRow="0" w:firstColumn="1" w:lastColumn="0" w:noHBand="0" w:noVBand="1"/>
      </w:tblPr>
      <w:tblGrid>
        <w:gridCol w:w="4217"/>
        <w:gridCol w:w="3547"/>
        <w:gridCol w:w="1867"/>
      </w:tblGrid>
      <w:tr>
        <w:trPr>
          <w:tblHeader/>
          <w:cantSplit/>
        </w:trPr>
        <w:tc>
          <w:tcPr>
            <w:tcW w:w="42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35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1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Desvio</w:t>
            </w:r>
          </w:p>
        </w:tc>
      </w:tr>
      <w:tr>
        <w:trPr>
          <w:cantSplit/>
        </w:trPr>
        <w:tc>
          <w:tcPr>
            <w:tcW w:w="4217" w:type="dxa"/>
          </w:tcPr>
          <w:p>
            <w:pPr>
              <w:widowControl/>
              <w:spacing w:after="0" w:line="276" w:lineRule="auto"/>
              <w:jc w:val="left"/>
              <w:rPr>
                <w:sz w:val="18"/>
                <w:szCs w:val="18"/>
              </w:rPr>
            </w:pPr>
            <w:r>
              <w:rPr>
                <w:sz w:val="18"/>
                <w:szCs w:val="20"/>
              </w:rPr>
              <w:t xml:space="preserve">CT-GQ-003 data do relatório</w:t>
            </w:r>
          </w:p>
        </w:tc>
        <w:tc>
          <w:tcPr>
            <w:tcW w:w="3547" w:type="dxa"/>
          </w:tcPr>
          <w:p>
            <w:pPr>
              <w:widowControl/>
              <w:spacing w:after="0" w:line="276" w:lineRule="auto"/>
              <w:jc w:val="left"/>
              <w:rPr>
                <w:sz w:val="18"/>
                <w:szCs w:val="18"/>
              </w:rPr>
            </w:pPr>
            <w:r>
              <w:rPr>
                <w:sz w:val="18"/>
                <w:szCs w:val="20"/>
              </w:rPr>
              <w:t xml:space="preserve">Passou (com ressalva: desvio salva sem item)</w:t>
            </w:r>
          </w:p>
        </w:tc>
        <w:tc>
          <w:tcPr>
            <w:tcW w:w="1867" w:type="dxa"/>
          </w:tcPr>
          <w:p>
            <w:pPr>
              <w:widowControl/>
              <w:spacing w:after="0" w:line="276" w:lineRule="auto"/>
              <w:jc w:val="left"/>
              <w:rPr>
                <w:sz w:val="18"/>
                <w:szCs w:val="18"/>
              </w:rPr>
            </w:pPr>
            <w:r>
              <w:rPr>
                <w:sz w:val="18"/>
                <w:szCs w:val="20"/>
              </w:rPr>
              <w:t xml:space="preserve">DV-GQ-010</w:t>
            </w:r>
          </w:p>
        </w:tc>
      </w:tr>
      <w:tr>
        <w:trPr>
          <w:cantSplit/>
        </w:trPr>
        <w:tc>
          <w:tcPr>
            <w:tcW w:w="4217" w:type="dxa"/>
          </w:tcPr>
          <w:p>
            <w:pPr>
              <w:widowControl/>
              <w:spacing w:after="0" w:line="276" w:lineRule="auto"/>
              <w:jc w:val="left"/>
              <w:rPr>
                <w:sz w:val="18"/>
                <w:szCs w:val="18"/>
              </w:rPr>
            </w:pPr>
            <w:r>
              <w:rPr>
                <w:sz w:val="18"/>
                <w:szCs w:val="20"/>
              </w:rPr>
              <w:t xml:space="preserve">CT-GQ-006 cancelar desvio e histórico</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DV-GQ-001</w:t>
            </w:r>
          </w:p>
        </w:tc>
      </w:tr>
      <w:tr>
        <w:trPr>
          <w:cantSplit/>
        </w:trPr>
        <w:tc>
          <w:tcPr>
            <w:tcW w:w="4217" w:type="dxa"/>
          </w:tcPr>
          <w:p>
            <w:pPr>
              <w:widowControl/>
              <w:spacing w:after="0" w:line="276" w:lineRule="auto"/>
              <w:jc w:val="left"/>
              <w:rPr>
                <w:sz w:val="18"/>
                <w:szCs w:val="18"/>
              </w:rPr>
            </w:pPr>
            <w:r>
              <w:rPr>
                <w:sz w:val="18"/>
                <w:szCs w:val="20"/>
              </w:rPr>
              <w:t xml:space="preserve">CT-GQ-014 desvio aberto e lote</w:t>
            </w:r>
          </w:p>
        </w:tc>
        <w:tc>
          <w:tcPr>
            <w:tcW w:w="3547" w:type="dxa"/>
          </w:tcPr>
          <w:p>
            <w:pPr>
              <w:widowControl/>
              <w:spacing w:after="0" w:line="276" w:lineRule="auto"/>
              <w:jc w:val="left"/>
              <w:rPr>
                <w:sz w:val="18"/>
                <w:szCs w:val="18"/>
              </w:rPr>
            </w:pPr>
            <w:r>
              <w:rPr>
                <w:sz w:val="18"/>
                <w:szCs w:val="20"/>
              </w:rPr>
              <w:t xml:space="preserve">Bloqueado (sem produto/material na busca)</w:t>
            </w:r>
          </w:p>
        </w:tc>
        <w:tc>
          <w:tcPr>
            <w:tcW w:w="1867" w:type="dxa"/>
          </w:tcPr>
          <w:p>
            <w:pPr>
              <w:widowControl/>
              <w:spacing w:after="0" w:line="276" w:lineRule="auto"/>
              <w:jc w:val="left"/>
              <w:rPr>
                <w:sz w:val="18"/>
                <w:szCs w:val="18"/>
              </w:rPr>
            </w:pPr>
            <w:r>
              <w:rPr>
                <w:sz w:val="18"/>
                <w:szCs w:val="20"/>
              </w:rPr>
              <w:t xml:space="preserve">DV-GQ-010</w:t>
            </w:r>
          </w:p>
        </w:tc>
      </w:tr>
      <w:tr>
        <w:trPr>
          <w:cantSplit/>
        </w:trPr>
        <w:tc>
          <w:tcPr>
            <w:tcW w:w="4217" w:type="dxa"/>
          </w:tcPr>
          <w:p>
            <w:pPr>
              <w:widowControl/>
              <w:spacing w:after="0" w:line="276" w:lineRule="auto"/>
              <w:jc w:val="left"/>
              <w:rPr>
                <w:sz w:val="18"/>
                <w:szCs w:val="18"/>
              </w:rPr>
            </w:pPr>
            <w:r>
              <w:rPr>
                <w:sz w:val="18"/>
                <w:szCs w:val="20"/>
              </w:rPr>
              <w:t xml:space="preserve">CT-GQ-021 monitoramento com ação pendente</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DV-GQ-002</w:t>
            </w:r>
          </w:p>
        </w:tc>
      </w:tr>
      <w:tr>
        <w:trPr>
          <w:cantSplit/>
        </w:trPr>
        <w:tc>
          <w:tcPr>
            <w:tcW w:w="4217" w:type="dxa"/>
          </w:tcPr>
          <w:p>
            <w:pPr>
              <w:widowControl/>
              <w:spacing w:after="0" w:line="276" w:lineRule="auto"/>
              <w:jc w:val="left"/>
              <w:rPr>
                <w:sz w:val="18"/>
                <w:szCs w:val="18"/>
              </w:rPr>
            </w:pPr>
            <w:r>
              <w:rPr>
                <w:sz w:val="18"/>
                <w:szCs w:val="20"/>
              </w:rPr>
              <w:t xml:space="preserve">CT-GQ-034 liberar avaliação sem parecer</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DV-GQ-003</w:t>
            </w:r>
          </w:p>
        </w:tc>
      </w:tr>
      <w:tr>
        <w:trPr>
          <w:cantSplit/>
        </w:trPr>
        <w:tc>
          <w:tcPr>
            <w:tcW w:w="4217" w:type="dxa"/>
          </w:tcPr>
          <w:p>
            <w:pPr>
              <w:widowControl/>
              <w:spacing w:after="0" w:line="276" w:lineRule="auto"/>
              <w:jc w:val="left"/>
              <w:rPr>
                <w:sz w:val="18"/>
                <w:szCs w:val="18"/>
              </w:rPr>
            </w:pPr>
            <w:r>
              <w:rPr>
                <w:sz w:val="18"/>
                <w:szCs w:val="20"/>
              </w:rPr>
              <w:t xml:space="preserve">CT-GQ-035 aprovar com área "não aceita"</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DV-GQ-004</w:t>
            </w:r>
          </w:p>
        </w:tc>
      </w:tr>
      <w:tr>
        <w:trPr>
          <w:cantSplit/>
        </w:trPr>
        <w:tc>
          <w:tcPr>
            <w:tcW w:w="4217" w:type="dxa"/>
          </w:tcPr>
          <w:p>
            <w:pPr>
              <w:widowControl/>
              <w:spacing w:after="0" w:line="276" w:lineRule="auto"/>
              <w:jc w:val="left"/>
              <w:rPr>
                <w:sz w:val="18"/>
                <w:szCs w:val="18"/>
              </w:rPr>
            </w:pPr>
            <w:r>
              <w:rPr>
                <w:sz w:val="18"/>
                <w:szCs w:val="20"/>
              </w:rPr>
              <w:t xml:space="preserve">CT-GQ-041 finalizar plano com ação pendente</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DV-GQ-005</w:t>
            </w:r>
          </w:p>
        </w:tc>
      </w:tr>
      <w:tr>
        <w:trPr>
          <w:cantSplit/>
        </w:trPr>
        <w:tc>
          <w:tcPr>
            <w:tcW w:w="4217" w:type="dxa"/>
          </w:tcPr>
          <w:p>
            <w:pPr>
              <w:widowControl/>
              <w:spacing w:after="0" w:line="276" w:lineRule="auto"/>
              <w:jc w:val="left"/>
              <w:rPr>
                <w:sz w:val="18"/>
                <w:szCs w:val="18"/>
              </w:rPr>
            </w:pPr>
            <w:r>
              <w:rPr>
                <w:sz w:val="18"/>
                <w:szCs w:val="20"/>
              </w:rPr>
              <w:t xml:space="preserve">CT-GQ-043 produto sem justificativa e histórico</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DV-GQ-006</w:t>
            </w:r>
          </w:p>
        </w:tc>
      </w:tr>
      <w:tr>
        <w:trPr>
          <w:cantSplit/>
        </w:trPr>
        <w:tc>
          <w:tcPr>
            <w:tcW w:w="4217" w:type="dxa"/>
          </w:tcPr>
          <w:p>
            <w:pPr>
              <w:widowControl/>
              <w:spacing w:after="0" w:line="276" w:lineRule="auto"/>
              <w:jc w:val="left"/>
              <w:rPr>
                <w:sz w:val="18"/>
                <w:szCs w:val="18"/>
              </w:rPr>
            </w:pPr>
            <w:r>
              <w:rPr>
                <w:sz w:val="18"/>
                <w:szCs w:val="20"/>
              </w:rPr>
              <w:t xml:space="preserve">CT-GQ-047 cancelamento sem histórico</w:t>
            </w:r>
          </w:p>
        </w:tc>
        <w:tc>
          <w:tcPr>
            <w:tcW w:w="3547" w:type="dxa"/>
          </w:tcPr>
          <w:p>
            <w:pPr>
              <w:widowControl/>
              <w:spacing w:after="0" w:line="276" w:lineRule="auto"/>
              <w:jc w:val="left"/>
              <w:rPr>
                <w:sz w:val="18"/>
                <w:szCs w:val="18"/>
              </w:rPr>
            </w:pPr>
            <w:r>
              <w:rPr>
                <w:sz w:val="18"/>
                <w:szCs w:val="20"/>
              </w:rPr>
              <w:t xml:space="preserve">Falhou (norma)</w:t>
            </w:r>
          </w:p>
        </w:tc>
        <w:tc>
          <w:tcPr>
            <w:tcW w:w="1867" w:type="dxa"/>
          </w:tcPr>
          <w:p>
            <w:pPr>
              <w:widowControl/>
              <w:spacing w:after="0" w:line="276" w:lineRule="auto"/>
              <w:jc w:val="left"/>
              <w:rPr>
                <w:sz w:val="18"/>
                <w:szCs w:val="18"/>
              </w:rPr>
            </w:pPr>
            <w:r>
              <w:rPr>
                <w:sz w:val="18"/>
                <w:szCs w:val="20"/>
              </w:rPr>
              <w:t xml:space="preserve">DV-GQ-007</w:t>
            </w:r>
          </w:p>
        </w:tc>
      </w:tr>
      <w:tr>
        <w:trPr>
          <w:cantSplit/>
        </w:trPr>
        <w:tc>
          <w:tcPr>
            <w:tcW w:w="4217" w:type="dxa"/>
          </w:tcPr>
          <w:p>
            <w:pPr>
              <w:widowControl/>
              <w:spacing w:after="0" w:line="276" w:lineRule="auto"/>
              <w:jc w:val="left"/>
              <w:rPr>
                <w:sz w:val="18"/>
                <w:szCs w:val="18"/>
              </w:rPr>
            </w:pPr>
            <w:r>
              <w:rPr>
                <w:sz w:val="18"/>
                <w:szCs w:val="20"/>
              </w:rPr>
              <w:t xml:space="preserve">CT-GQ-111 consulta incluindo</w:t>
            </w:r>
          </w:p>
        </w:tc>
        <w:tc>
          <w:tcPr>
            <w:tcW w:w="3547" w:type="dxa"/>
          </w:tcPr>
          <w:p>
            <w:pPr>
              <w:widowControl/>
              <w:spacing w:after="0" w:line="276" w:lineRule="auto"/>
              <w:jc w:val="left"/>
              <w:rPr>
                <w:sz w:val="18"/>
                <w:szCs w:val="18"/>
              </w:rPr>
            </w:pPr>
            <w:r>
              <w:rPr>
                <w:sz w:val="18"/>
                <w:szCs w:val="20"/>
              </w:rPr>
              <w:t xml:space="preserve">Falhou (norma), a confirmar o perfil</w:t>
            </w:r>
          </w:p>
        </w:tc>
        <w:tc>
          <w:tcPr>
            <w:tcW w:w="1867" w:type="dxa"/>
          </w:tcPr>
          <w:p>
            <w:pPr>
              <w:widowControl/>
              <w:spacing w:after="0" w:line="276" w:lineRule="auto"/>
              <w:jc w:val="left"/>
              <w:rPr>
                <w:sz w:val="18"/>
                <w:szCs w:val="18"/>
              </w:rPr>
            </w:pPr>
            <w:r>
              <w:rPr>
                <w:sz w:val="18"/>
                <w:szCs w:val="20"/>
              </w:rPr>
              <w:t xml:space="preserve">DV-GQ-008</w:t>
            </w:r>
          </w:p>
        </w:tc>
      </w:tr>
      <w:tr>
        <w:trPr>
          <w:cantSplit/>
        </w:trPr>
        <w:tc>
          <w:tcPr>
            <w:tcW w:w="4217" w:type="dxa"/>
          </w:tcPr>
          <w:p>
            <w:pPr>
              <w:widowControl/>
              <w:spacing w:after="0" w:line="276" w:lineRule="auto"/>
              <w:jc w:val="left"/>
              <w:rPr>
                <w:sz w:val="18"/>
                <w:szCs w:val="18"/>
              </w:rPr>
            </w:pPr>
            <w:r>
              <w:rPr>
                <w:sz w:val="18"/>
                <w:szCs w:val="20"/>
              </w:rPr>
              <w:t xml:space="preserve">CT-GQ-112 autopromoção a Nível 3</w:t>
            </w:r>
          </w:p>
        </w:tc>
        <w:tc>
          <w:tcPr>
            <w:tcW w:w="3547" w:type="dxa"/>
          </w:tcPr>
          <w:p>
            <w:pPr>
              <w:widowControl/>
              <w:spacing w:after="0" w:line="276" w:lineRule="auto"/>
              <w:jc w:val="left"/>
              <w:rPr>
                <w:sz w:val="18"/>
                <w:szCs w:val="18"/>
              </w:rPr>
            </w:pPr>
            <w:r>
              <w:rPr>
                <w:sz w:val="18"/>
                <w:szCs w:val="20"/>
              </w:rPr>
              <w:t xml:space="preserve">Falhou (norma), crítica</w:t>
            </w:r>
          </w:p>
        </w:tc>
        <w:tc>
          <w:tcPr>
            <w:tcW w:w="1867" w:type="dxa"/>
          </w:tcPr>
          <w:p>
            <w:pPr>
              <w:widowControl/>
              <w:spacing w:after="0" w:line="276" w:lineRule="auto"/>
              <w:jc w:val="left"/>
              <w:rPr>
                <w:sz w:val="18"/>
                <w:szCs w:val="18"/>
              </w:rPr>
            </w:pPr>
            <w:r>
              <w:rPr>
                <w:sz w:val="18"/>
                <w:szCs w:val="20"/>
              </w:rPr>
              <w:t xml:space="preserve">DV-GQ-009</w:t>
            </w:r>
          </w:p>
        </w:tc>
      </w:tr>
    </w:tbl>
    <w:p>
      <w:pPr>
        <w:spacing w:after="0" w:line="360" w:lineRule="auto"/>
      </w:pPr>
    </w:p>
    <w:p>
      <w:pPr>
        <w:spacing w:after="0" w:line="360" w:lineRule="auto"/>
        <w:rPr>
          <w:szCs w:val="20"/>
        </w:rPr>
      </w:pPr>
      <w:r>
        <w:rPr>
          <w:szCs w:val="20"/>
        </w:rPr>
        <w:t xml:space="preserve">Detalhes, evidências e dados TESTE criados: </w:t>
      </w:r>
      <w:r>
        <w:rPr>
          <w:szCs w:val="20"/>
        </w:rPr>
        <w:t xml:space="preserve">execucao/2026-10-12/resultado.md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a rodada 2 mostrou, em linguagem simples</w:t>
      </w:r>
    </w:p>
    <w:p>
      <w:pPr>
        <w:spacing w:after="0" w:line="360" w:lineRule="auto"/>
        <w:rPr>
          <w:szCs w:val="20"/>
        </w:rPr>
      </w:pPr>
      <w:r>
        <w:rPr>
          <w:szCs w:val="20"/>
        </w:rPr>
        <w:t xml:space="preserve">1. </w:t>
      </w:r>
      <w:r>
        <w:rPr>
          <w:b/>
          <w:bCs/>
          <w:szCs w:val="20"/>
        </w:rPr>
        <w:t xml:space="preserve">O plano de ação trava dos dois lados.</w:t>
      </w:r>
      <w:r>
        <w:rPr>
          <w:szCs w:val="20"/>
        </w:rPr>
        <w:t xml:space="preserve"> O Relatório de CAPA não grava (confirma e não avança); o Monitoramento do Plano de Ação Preventiva não tem botão "Reprovar" e, ao tentar reprovar pelo único botão disponível, não produz efeito algum. Um desvio pode ficar parado para sempre em dois pontos diferentes do fluxo, sem alerta. 2. </w:t>
      </w:r>
      <w:r>
        <w:rPr>
          <w:b/>
          <w:bCs/>
          <w:szCs w:val="20"/>
        </w:rPr>
        <w:t xml:space="preserve">Datas fora de ordem são aceitas.</w:t>
      </w:r>
      <w:r>
        <w:rPr>
          <w:szCs w:val="20"/>
        </w:rPr>
        <w:t xml:space="preserve"> A Programação de Assuntos Regulatórios aceitou prazo máximo e validade anteriores à data programada. 3. </w:t>
      </w:r>
      <w:r>
        <w:rPr>
          <w:b/>
          <w:bCs/>
          <w:szCs w:val="20"/>
        </w:rPr>
        <w:t xml:space="preserve">Programação de Treinamento não salva.</w:t>
      </w:r>
      <w:r>
        <w:rPr>
          <w:szCs w:val="20"/>
        </w:rPr>
        <w:t xml:space="preserve"> Erro genérico ("Ocorreu um erro inesperado") ao salvar, mesmo com todos os campos preenchidos — bloqueia toda a conclusão e o acompanhamento de treinamentos. 4. </w:t>
      </w:r>
      <w:r>
        <w:rPr>
          <w:b/>
          <w:bCs/>
          <w:szCs w:val="20"/>
        </w:rPr>
        <w:t xml:space="preserve">Autoinspeção não liga roteiro à programação.</w:t>
      </w:r>
      <w:r>
        <w:rPr>
          <w:szCs w:val="20"/>
        </w:rPr>
        <w:t xml:space="preserve"> Sem isso, a Programação de Autoinspeção e Auditoria não salva, e ficam bloqueados os casos de independência do inspetor, trilha de auditoria e geração de desvio pela auditoria. 5. </w:t>
      </w:r>
      <w:r>
        <w:rPr>
          <w:b/>
          <w:bCs/>
          <w:szCs w:val="20"/>
        </w:rPr>
        <w:t xml:space="preserve">Parte do caminho "registro de produto" não aparece no menu de `t.admin`</w:t>
      </w:r>
      <w:r>
        <w:rPr>
          <w:szCs w:val="20"/>
        </w:rPr>
        <w:t xml:space="preserve"> (Check-list, Solicitação de Registro, Controle de Produtos Enviados, Exigências da ANVISA). </w:t>
      </w:r>
      <w:r>
        <w:rPr>
          <w:b/>
          <w:bCs/>
          <w:szCs w:val="20"/>
        </w:rPr>
        <w:t xml:space="preserve">As telas existem no código</w:t>
      </w:r>
      <w:r>
        <w:rPr>
          <w:szCs w:val="20"/>
        </w:rPr>
        <w:t xml:space="preserve">; o menu é montado a partir das funções do perfil. Falta conferir em Perfil (Principal) se as funções foram marcadas antes de tratar como defeito (DV-GQ-015). 6. </w:t>
      </w:r>
      <w:r>
        <w:rPr>
          <w:b/>
          <w:bCs/>
          <w:szCs w:val="20"/>
        </w:rPr>
        <w:t xml:space="preserve">Mensagens de erro reais não chegam à tela</w:t>
      </w:r>
      <w:r>
        <w:rPr>
          <w:szCs w:val="20"/>
        </w:rPr>
        <w:t xml:space="preserve">: em pelo menos dois pontos, o erro verdadeiro só aparece na resposta técnica da chamada, nunca na tela que o usuário vê.</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Casos executados na rodada 2</w:t>
      </w:r>
    </w:p>
    <w:tbl>
      <w:tblPr>
        <w:tblStyle w:val="Tabelacomgrade"/>
        <w:tblW w:w="9631" w:type="dxa"/>
        <w:tblLayout w:type="fixed"/>
        <w:tblLook w:val="04A0" w:firstRow="1" w:lastRow="0" w:firstColumn="1" w:lastColumn="0" w:noHBand="0" w:noVBand="1"/>
      </w:tblPr>
      <w:tblGrid>
        <w:gridCol w:w="4785"/>
        <w:gridCol w:w="3164"/>
        <w:gridCol w:w="1682"/>
      </w:tblGrid>
      <w:tr>
        <w:trPr>
          <w:tblHeader/>
          <w:cantSplit/>
        </w:trPr>
        <w:tc>
          <w:tcPr>
            <w:tcW w:w="47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31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16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Desvio</w:t>
            </w:r>
          </w:p>
        </w:tc>
      </w:tr>
      <w:tr>
        <w:trPr>
          <w:cantSplit/>
        </w:trPr>
        <w:tc>
          <w:tcPr>
            <w:tcW w:w="4785" w:type="dxa"/>
          </w:tcPr>
          <w:p>
            <w:pPr>
              <w:widowControl/>
              <w:spacing w:after="0" w:line="276" w:lineRule="auto"/>
              <w:jc w:val="left"/>
              <w:rPr>
                <w:sz w:val="18"/>
                <w:szCs w:val="18"/>
              </w:rPr>
            </w:pPr>
            <w:r>
              <w:rPr>
                <w:sz w:val="18"/>
                <w:szCs w:val="20"/>
              </w:rPr>
              <w:t xml:space="preserve">CT-GQ-022 plano corretivo reprovado sem saída</w:t>
            </w:r>
          </w:p>
        </w:tc>
        <w:tc>
          <w:tcPr>
            <w:tcW w:w="3164" w:type="dxa"/>
          </w:tcPr>
          <w:p>
            <w:pPr>
              <w:widowControl/>
              <w:spacing w:after="0" w:line="276" w:lineRule="auto"/>
              <w:jc w:val="left"/>
              <w:rPr>
                <w:sz w:val="18"/>
                <w:szCs w:val="18"/>
              </w:rPr>
            </w:pPr>
            <w:r>
              <w:rPr>
                <w:sz w:val="18"/>
                <w:szCs w:val="20"/>
              </w:rPr>
              <w:t xml:space="preserve">Bloqueado (CAPA não grava)</w:t>
            </w:r>
          </w:p>
        </w:tc>
        <w:tc>
          <w:tcPr>
            <w:tcW w:w="1682" w:type="dxa"/>
          </w:tcPr>
          <w:p>
            <w:pPr>
              <w:widowControl/>
              <w:spacing w:after="0" w:line="276" w:lineRule="auto"/>
              <w:jc w:val="left"/>
              <w:rPr>
                <w:sz w:val="18"/>
                <w:szCs w:val="18"/>
              </w:rPr>
            </w:pPr>
            <w:r>
              <w:rPr>
                <w:sz w:val="18"/>
                <w:szCs w:val="20"/>
              </w:rPr>
              <w:t xml:space="preserve">DV-GQ-011</w:t>
            </w:r>
          </w:p>
        </w:tc>
      </w:tr>
      <w:tr>
        <w:trPr>
          <w:cantSplit/>
        </w:trPr>
        <w:tc>
          <w:tcPr>
            <w:tcW w:w="4785" w:type="dxa"/>
          </w:tcPr>
          <w:p>
            <w:pPr>
              <w:widowControl/>
              <w:spacing w:after="0" w:line="276" w:lineRule="auto"/>
              <w:jc w:val="left"/>
              <w:rPr>
                <w:sz w:val="18"/>
                <w:szCs w:val="18"/>
              </w:rPr>
            </w:pPr>
            <w:r>
              <w:rPr>
                <w:sz w:val="18"/>
                <w:szCs w:val="20"/>
              </w:rPr>
              <w:t xml:space="preserve">CT-GQ-023 plano preventivo reprovado</w:t>
            </w:r>
          </w:p>
        </w:tc>
        <w:tc>
          <w:tcPr>
            <w:tcW w:w="3164" w:type="dxa"/>
          </w:tcPr>
          <w:p>
            <w:pPr>
              <w:widowControl/>
              <w:spacing w:after="0" w:line="276" w:lineRule="auto"/>
              <w:jc w:val="left"/>
              <w:rPr>
                <w:sz w:val="18"/>
                <w:szCs w:val="18"/>
              </w:rPr>
            </w:pPr>
            <w:r>
              <w:rPr>
                <w:sz w:val="18"/>
                <w:szCs w:val="20"/>
              </w:rPr>
              <w:t xml:space="preserve">Falhou (defeito: não dá para reprovar)</w:t>
            </w:r>
          </w:p>
        </w:tc>
        <w:tc>
          <w:tcPr>
            <w:tcW w:w="1682" w:type="dxa"/>
          </w:tcPr>
          <w:p>
            <w:pPr>
              <w:widowControl/>
              <w:spacing w:after="0" w:line="276" w:lineRule="auto"/>
              <w:jc w:val="left"/>
              <w:rPr>
                <w:sz w:val="18"/>
                <w:szCs w:val="18"/>
              </w:rPr>
            </w:pPr>
            <w:r>
              <w:rPr>
                <w:sz w:val="18"/>
                <w:szCs w:val="20"/>
              </w:rPr>
              <w:t xml:space="preserve">DV-GQ-012</w:t>
            </w:r>
          </w:p>
        </w:tc>
      </w:tr>
      <w:tr>
        <w:trPr>
          <w:cantSplit/>
        </w:trPr>
        <w:tc>
          <w:tcPr>
            <w:tcW w:w="4785" w:type="dxa"/>
          </w:tcPr>
          <w:p>
            <w:pPr>
              <w:widowControl/>
              <w:spacing w:after="0" w:line="276" w:lineRule="auto"/>
              <w:jc w:val="left"/>
              <w:rPr>
                <w:sz w:val="18"/>
                <w:szCs w:val="18"/>
              </w:rPr>
            </w:pPr>
            <w:r>
              <w:rPr>
                <w:sz w:val="18"/>
                <w:szCs w:val="20"/>
              </w:rPr>
              <w:t xml:space="preserve">CT-GQ-052 lista de tipo sem auditoria de fornecedor</w:t>
            </w:r>
          </w:p>
        </w:tc>
        <w:tc>
          <w:tcPr>
            <w:tcW w:w="3164" w:type="dxa"/>
          </w:tcPr>
          <w:p>
            <w:pPr>
              <w:widowControl/>
              <w:spacing w:after="0" w:line="276" w:lineRule="auto"/>
              <w:jc w:val="left"/>
              <w:rPr>
                <w:sz w:val="18"/>
                <w:szCs w:val="18"/>
              </w:rPr>
            </w:pPr>
            <w:r>
              <w:rPr>
                <w:sz w:val="18"/>
                <w:szCs w:val="20"/>
              </w:rPr>
              <w:t xml:space="preserve">Falhou (norma)</w:t>
            </w:r>
          </w:p>
        </w:tc>
        <w:tc>
          <w:tcPr>
            <w:tcW w:w="1682" w:type="dxa"/>
          </w:tcPr>
          <w:p>
            <w:pPr>
              <w:widowControl/>
              <w:spacing w:after="0" w:line="276" w:lineRule="auto"/>
              <w:jc w:val="left"/>
              <w:rPr>
                <w:sz w:val="18"/>
                <w:szCs w:val="18"/>
              </w:rPr>
            </w:pPr>
            <w:r>
              <w:rPr>
                <w:sz w:val="18"/>
                <w:szCs w:val="20"/>
              </w:rPr>
              <w:t xml:space="preserve">—</w:t>
            </w:r>
          </w:p>
        </w:tc>
      </w:tr>
      <w:tr>
        <w:trPr>
          <w:cantSplit/>
        </w:trPr>
        <w:tc>
          <w:tcPr>
            <w:tcW w:w="4785" w:type="dxa"/>
          </w:tcPr>
          <w:p>
            <w:pPr>
              <w:widowControl/>
              <w:spacing w:after="0" w:line="276" w:lineRule="auto"/>
              <w:jc w:val="left"/>
              <w:rPr>
                <w:sz w:val="18"/>
                <w:szCs w:val="18"/>
              </w:rPr>
            </w:pPr>
            <w:r>
              <w:rPr>
                <w:sz w:val="18"/>
                <w:szCs w:val="20"/>
              </w:rPr>
              <w:t xml:space="preserve">CT-GQ-055 independência do inspetor</w:t>
            </w:r>
          </w:p>
        </w:tc>
        <w:tc>
          <w:tcPr>
            <w:tcW w:w="3164" w:type="dxa"/>
          </w:tcPr>
          <w:p>
            <w:pPr>
              <w:widowControl/>
              <w:spacing w:after="0" w:line="276" w:lineRule="auto"/>
              <w:jc w:val="left"/>
              <w:rPr>
                <w:sz w:val="18"/>
                <w:szCs w:val="18"/>
              </w:rPr>
            </w:pPr>
            <w:r>
              <w:rPr>
                <w:sz w:val="18"/>
                <w:szCs w:val="20"/>
              </w:rPr>
              <w:t xml:space="preserve">Bloqueado (vínculo de roteiro não funciona)</w:t>
            </w:r>
          </w:p>
        </w:tc>
        <w:tc>
          <w:tcPr>
            <w:tcW w:w="1682" w:type="dxa"/>
          </w:tcPr>
          <w:p>
            <w:pPr>
              <w:widowControl/>
              <w:spacing w:after="0" w:line="276" w:lineRule="auto"/>
              <w:jc w:val="left"/>
              <w:rPr>
                <w:sz w:val="18"/>
                <w:szCs w:val="18"/>
              </w:rPr>
            </w:pPr>
            <w:r>
              <w:rPr>
                <w:sz w:val="18"/>
                <w:szCs w:val="20"/>
              </w:rPr>
              <w:t xml:space="preserve">DV-GQ-014</w:t>
            </w:r>
          </w:p>
        </w:tc>
      </w:tr>
      <w:tr>
        <w:trPr>
          <w:cantSplit/>
        </w:trPr>
        <w:tc>
          <w:tcPr>
            <w:tcW w:w="4785" w:type="dxa"/>
          </w:tcPr>
          <w:p>
            <w:pPr>
              <w:widowControl/>
              <w:spacing w:after="0" w:line="276" w:lineRule="auto"/>
              <w:jc w:val="left"/>
              <w:rPr>
                <w:sz w:val="18"/>
                <w:szCs w:val="18"/>
              </w:rPr>
            </w:pPr>
            <w:r>
              <w:rPr>
                <w:sz w:val="18"/>
                <w:szCs w:val="20"/>
              </w:rPr>
              <w:t xml:space="preserve">CT-GQ-057 área auditada registrando a própria auditoria</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DV-GQ-014</w:t>
            </w:r>
          </w:p>
        </w:tc>
      </w:tr>
      <w:tr>
        <w:trPr>
          <w:cantSplit/>
        </w:trPr>
        <w:tc>
          <w:tcPr>
            <w:tcW w:w="4785" w:type="dxa"/>
          </w:tcPr>
          <w:p>
            <w:pPr>
              <w:widowControl/>
              <w:spacing w:after="0" w:line="276" w:lineRule="auto"/>
              <w:jc w:val="left"/>
              <w:rPr>
                <w:sz w:val="18"/>
                <w:szCs w:val="18"/>
              </w:rPr>
            </w:pPr>
            <w:r>
              <w:rPr>
                <w:sz w:val="18"/>
                <w:szCs w:val="20"/>
              </w:rPr>
              <w:t xml:space="preserve">CT-GQ-061 histórico de alteração do desvio da auditoria</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DV-GQ-014</w:t>
            </w:r>
          </w:p>
        </w:tc>
      </w:tr>
      <w:tr>
        <w:trPr>
          <w:cantSplit/>
        </w:trPr>
        <w:tc>
          <w:tcPr>
            <w:tcW w:w="4785" w:type="dxa"/>
          </w:tcPr>
          <w:p>
            <w:pPr>
              <w:widowControl/>
              <w:spacing w:after="0" w:line="276" w:lineRule="auto"/>
              <w:jc w:val="left"/>
              <w:rPr>
                <w:sz w:val="18"/>
                <w:szCs w:val="18"/>
              </w:rPr>
            </w:pPr>
            <w:r>
              <w:rPr>
                <w:sz w:val="18"/>
                <w:szCs w:val="20"/>
              </w:rPr>
              <w:t xml:space="preserve">CT-GQ-063 auditoria não conforme sem gerar desvio</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DV-GQ-014</w:t>
            </w:r>
          </w:p>
        </w:tc>
      </w:tr>
      <w:tr>
        <w:trPr>
          <w:cantSplit/>
        </w:trPr>
        <w:tc>
          <w:tcPr>
            <w:tcW w:w="4785" w:type="dxa"/>
          </w:tcPr>
          <w:p>
            <w:pPr>
              <w:widowControl/>
              <w:spacing w:after="0" w:line="276" w:lineRule="auto"/>
              <w:jc w:val="left"/>
              <w:rPr>
                <w:sz w:val="18"/>
                <w:szCs w:val="18"/>
              </w:rPr>
            </w:pPr>
            <w:r>
              <w:rPr>
                <w:sz w:val="18"/>
                <w:szCs w:val="20"/>
              </w:rPr>
              <w:t xml:space="preserve">CT-GQ-076 treinando ausente com nota 0 "Suficiente"</w:t>
            </w:r>
          </w:p>
        </w:tc>
        <w:tc>
          <w:tcPr>
            <w:tcW w:w="3164" w:type="dxa"/>
          </w:tcPr>
          <w:p>
            <w:pPr>
              <w:widowControl/>
              <w:spacing w:after="0" w:line="276" w:lineRule="auto"/>
              <w:jc w:val="left"/>
              <w:rPr>
                <w:sz w:val="18"/>
                <w:szCs w:val="18"/>
              </w:rPr>
            </w:pPr>
            <w:r>
              <w:rPr>
                <w:sz w:val="18"/>
                <w:szCs w:val="20"/>
              </w:rPr>
              <w:t xml:space="preserve">Bloqueado (programação não salva)</w:t>
            </w:r>
          </w:p>
        </w:tc>
        <w:tc>
          <w:tcPr>
            <w:tcW w:w="1682" w:type="dxa"/>
          </w:tcPr>
          <w:p>
            <w:pPr>
              <w:widowControl/>
              <w:spacing w:after="0" w:line="276" w:lineRule="auto"/>
              <w:jc w:val="left"/>
              <w:rPr>
                <w:sz w:val="18"/>
                <w:szCs w:val="18"/>
              </w:rPr>
            </w:pPr>
            <w:r>
              <w:rPr>
                <w:sz w:val="18"/>
                <w:szCs w:val="20"/>
              </w:rPr>
              <w:t xml:space="preserve">DV-GQ-013</w:t>
            </w:r>
          </w:p>
        </w:tc>
      </w:tr>
      <w:tr>
        <w:trPr>
          <w:cantSplit/>
        </w:trPr>
        <w:tc>
          <w:tcPr>
            <w:tcW w:w="4785" w:type="dxa"/>
          </w:tcPr>
          <w:p>
            <w:pPr>
              <w:widowControl/>
              <w:spacing w:after="0" w:line="276" w:lineRule="auto"/>
              <w:jc w:val="left"/>
              <w:rPr>
                <w:sz w:val="18"/>
                <w:szCs w:val="18"/>
              </w:rPr>
            </w:pPr>
            <w:r>
              <w:rPr>
                <w:sz w:val="18"/>
                <w:szCs w:val="20"/>
              </w:rPr>
              <w:t xml:space="preserve">CT-GQ-078 histórico da conclusão do treinamento</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DV-GQ-013</w:t>
            </w:r>
          </w:p>
        </w:tc>
      </w:tr>
      <w:tr>
        <w:trPr>
          <w:cantSplit/>
        </w:trPr>
        <w:tc>
          <w:tcPr>
            <w:tcW w:w="4785" w:type="dxa"/>
          </w:tcPr>
          <w:p>
            <w:pPr>
              <w:widowControl/>
              <w:spacing w:after="0" w:line="276" w:lineRule="auto"/>
              <w:jc w:val="left"/>
              <w:rPr>
                <w:sz w:val="18"/>
                <w:szCs w:val="18"/>
              </w:rPr>
            </w:pPr>
            <w:r>
              <w:rPr>
                <w:sz w:val="18"/>
                <w:szCs w:val="20"/>
              </w:rPr>
              <w:t xml:space="preserve">CT-GQ-080 funcionário com treinamento vencido continua trabalhando</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DV-GQ-013</w:t>
            </w:r>
          </w:p>
        </w:tc>
      </w:tr>
      <w:tr>
        <w:trPr>
          <w:cantSplit/>
        </w:trPr>
        <w:tc>
          <w:tcPr>
            <w:tcW w:w="4785" w:type="dxa"/>
          </w:tcPr>
          <w:p>
            <w:pPr>
              <w:widowControl/>
              <w:spacing w:after="0" w:line="276" w:lineRule="auto"/>
              <w:jc w:val="left"/>
              <w:rPr>
                <w:sz w:val="18"/>
                <w:szCs w:val="18"/>
              </w:rPr>
            </w:pPr>
            <w:r>
              <w:rPr>
                <w:sz w:val="18"/>
                <w:szCs w:val="20"/>
              </w:rPr>
              <w:t xml:space="preserve">CT-GQ-081 turma insuficiente no Controle de Documentos</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DV-GQ-013</w:t>
            </w:r>
          </w:p>
        </w:tc>
      </w:tr>
      <w:tr>
        <w:trPr>
          <w:cantSplit/>
        </w:trPr>
        <w:tc>
          <w:tcPr>
            <w:tcW w:w="4785" w:type="dxa"/>
          </w:tcPr>
          <w:p>
            <w:pPr>
              <w:widowControl/>
              <w:spacing w:after="0" w:line="276" w:lineRule="auto"/>
              <w:jc w:val="left"/>
              <w:rPr>
                <w:sz w:val="18"/>
                <w:szCs w:val="18"/>
              </w:rPr>
            </w:pPr>
            <w:r>
              <w:rPr>
                <w:sz w:val="18"/>
                <w:szCs w:val="20"/>
              </w:rPr>
              <w:t xml:space="preserve">CT-GQ-091 datas fora de ordem na programação regulatória</w:t>
            </w:r>
          </w:p>
        </w:tc>
        <w:tc>
          <w:tcPr>
            <w:tcW w:w="3164" w:type="dxa"/>
          </w:tcPr>
          <w:p>
            <w:pPr>
              <w:widowControl/>
              <w:spacing w:after="0" w:line="276" w:lineRule="auto"/>
              <w:jc w:val="left"/>
              <w:rPr>
                <w:sz w:val="18"/>
                <w:szCs w:val="18"/>
              </w:rPr>
            </w:pPr>
            <w:r>
              <w:rPr>
                <w:sz w:val="18"/>
                <w:szCs w:val="20"/>
              </w:rPr>
              <w:t xml:space="preserve">Falhou (norma)</w:t>
            </w:r>
          </w:p>
        </w:tc>
        <w:tc>
          <w:tcPr>
            <w:tcW w:w="1682" w:type="dxa"/>
          </w:tcPr>
          <w:p>
            <w:pPr>
              <w:widowControl/>
              <w:spacing w:after="0" w:line="276" w:lineRule="auto"/>
              <w:jc w:val="left"/>
              <w:rPr>
                <w:sz w:val="18"/>
                <w:szCs w:val="18"/>
              </w:rPr>
            </w:pPr>
            <w:r>
              <w:rPr>
                <w:sz w:val="18"/>
                <w:szCs w:val="20"/>
              </w:rPr>
              <w:t xml:space="preserve">—</w:t>
            </w:r>
          </w:p>
        </w:tc>
      </w:tr>
      <w:tr>
        <w:trPr>
          <w:cantSplit/>
        </w:trPr>
        <w:tc>
          <w:tcPr>
            <w:tcW w:w="4785" w:type="dxa"/>
          </w:tcPr>
          <w:p>
            <w:pPr>
              <w:widowControl/>
              <w:spacing w:after="0" w:line="276" w:lineRule="auto"/>
              <w:jc w:val="left"/>
              <w:rPr>
                <w:sz w:val="18"/>
                <w:szCs w:val="18"/>
              </w:rPr>
            </w:pPr>
            <w:r>
              <w:rPr>
                <w:sz w:val="18"/>
                <w:szCs w:val="20"/>
              </w:rPr>
              <w:t xml:space="preserve">CT-GQ-093 programação sem aviso de vencimento</w:t>
            </w:r>
          </w:p>
        </w:tc>
        <w:tc>
          <w:tcPr>
            <w:tcW w:w="3164" w:type="dxa"/>
          </w:tcPr>
          <w:p>
            <w:pPr>
              <w:widowControl/>
              <w:spacing w:after="0" w:line="276" w:lineRule="auto"/>
              <w:jc w:val="left"/>
              <w:rPr>
                <w:sz w:val="18"/>
                <w:szCs w:val="18"/>
              </w:rPr>
            </w:pPr>
            <w:r>
              <w:rPr>
                <w:sz w:val="18"/>
                <w:szCs w:val="20"/>
              </w:rPr>
              <w:t xml:space="preserve">Bloqueado (checagem do dia seguinte não feita)</w:t>
            </w:r>
          </w:p>
        </w:tc>
        <w:tc>
          <w:tcPr>
            <w:tcW w:w="1682" w:type="dxa"/>
          </w:tcPr>
          <w:p>
            <w:pPr>
              <w:widowControl/>
              <w:spacing w:after="0" w:line="276" w:lineRule="auto"/>
              <w:jc w:val="left"/>
              <w:rPr>
                <w:sz w:val="18"/>
                <w:szCs w:val="18"/>
              </w:rPr>
            </w:pPr>
            <w:r>
              <w:rPr>
                <w:sz w:val="18"/>
                <w:szCs w:val="20"/>
              </w:rPr>
              <w:t xml:space="preserve">—</w:t>
            </w:r>
          </w:p>
        </w:tc>
      </w:tr>
      <w:tr>
        <w:trPr>
          <w:cantSplit/>
        </w:trPr>
        <w:tc>
          <w:tcPr>
            <w:tcW w:w="4785" w:type="dxa"/>
          </w:tcPr>
          <w:p>
            <w:pPr>
              <w:widowControl/>
              <w:spacing w:after="0" w:line="276" w:lineRule="auto"/>
              <w:jc w:val="left"/>
              <w:rPr>
                <w:sz w:val="18"/>
                <w:szCs w:val="18"/>
              </w:rPr>
            </w:pPr>
            <w:r>
              <w:rPr>
                <w:sz w:val="18"/>
                <w:szCs w:val="20"/>
              </w:rPr>
              <w:t xml:space="preserve">CT-GQ-097 envio à ANVISA com documento pendente</w:t>
            </w:r>
          </w:p>
        </w:tc>
        <w:tc>
          <w:tcPr>
            <w:tcW w:w="3164" w:type="dxa"/>
          </w:tcPr>
          <w:p>
            <w:pPr>
              <w:widowControl/>
              <w:spacing w:after="0" w:line="276" w:lineRule="auto"/>
              <w:jc w:val="left"/>
              <w:rPr>
                <w:sz w:val="18"/>
                <w:szCs w:val="18"/>
              </w:rPr>
            </w:pPr>
            <w:r>
              <w:rPr>
                <w:sz w:val="18"/>
                <w:szCs w:val="20"/>
              </w:rPr>
              <w:t xml:space="preserve">Bloqueado (tela não aparece no menu de </w:t>
            </w:r>
            <w:r>
              <w:rPr>
                <w:sz w:val="18"/>
                <w:szCs w:val="20"/>
              </w:rPr>
              <w:t xml:space="preserve">t.admin</w:t>
            </w:r>
            <w:r>
              <w:rPr>
                <w:sz w:val="18"/>
                <w:szCs w:val="20"/>
              </w:rPr>
              <w:t xml:space="preserve">; a tela existe no código, falta conferir a função em Perfil)</w:t>
            </w:r>
          </w:p>
        </w:tc>
        <w:tc>
          <w:tcPr>
            <w:tcW w:w="1682" w:type="dxa"/>
          </w:tcPr>
          <w:p>
            <w:pPr>
              <w:widowControl/>
              <w:spacing w:after="0" w:line="276" w:lineRule="auto"/>
              <w:jc w:val="left"/>
              <w:rPr>
                <w:sz w:val="18"/>
                <w:szCs w:val="18"/>
              </w:rPr>
            </w:pPr>
            <w:r>
              <w:rPr>
                <w:sz w:val="18"/>
                <w:szCs w:val="20"/>
              </w:rPr>
              <w:t xml:space="preserve">DV-GQ-015</w:t>
            </w:r>
          </w:p>
        </w:tc>
      </w:tr>
      <w:tr>
        <w:trPr>
          <w:cantSplit/>
        </w:trPr>
        <w:tc>
          <w:tcPr>
            <w:tcW w:w="4785" w:type="dxa"/>
          </w:tcPr>
          <w:p>
            <w:pPr>
              <w:widowControl/>
              <w:spacing w:after="0" w:line="276" w:lineRule="auto"/>
              <w:jc w:val="left"/>
              <w:rPr>
                <w:sz w:val="18"/>
                <w:szCs w:val="18"/>
              </w:rPr>
            </w:pPr>
            <w:r>
              <w:rPr>
                <w:sz w:val="18"/>
                <w:szCs w:val="20"/>
              </w:rPr>
              <w:t xml:space="preserve">CT-GQ-099 produto indeferido continua sendo movimentado</w:t>
            </w:r>
          </w:p>
        </w:tc>
        <w:tc>
          <w:tcPr>
            <w:tcW w:w="3164" w:type="dxa"/>
          </w:tcPr>
          <w:p>
            <w:pPr>
              <w:widowControl/>
              <w:spacing w:after="0" w:line="276" w:lineRule="auto"/>
              <w:jc w:val="left"/>
              <w:rPr>
                <w:sz w:val="18"/>
                <w:szCs w:val="18"/>
              </w:rPr>
            </w:pPr>
            <w:r>
              <w:rPr>
                <w:sz w:val="18"/>
                <w:szCs w:val="20"/>
              </w:rPr>
              <w:t xml:space="preserve">Bloqueado</w:t>
            </w:r>
          </w:p>
        </w:tc>
        <w:tc>
          <w:tcPr>
            <w:tcW w:w="1682" w:type="dxa"/>
          </w:tcPr>
          <w:p>
            <w:pPr>
              <w:widowControl/>
              <w:spacing w:after="0" w:line="276" w:lineRule="auto"/>
              <w:jc w:val="left"/>
              <w:rPr>
                <w:sz w:val="18"/>
                <w:szCs w:val="18"/>
              </w:rPr>
            </w:pPr>
            <w:r>
              <w:rPr>
                <w:sz w:val="18"/>
                <w:szCs w:val="20"/>
              </w:rPr>
              <w:t xml:space="preserve">DV-GQ-015</w:t>
            </w:r>
          </w:p>
        </w:tc>
      </w:tr>
    </w:tbl>
    <w:p>
      <w:pPr>
        <w:spacing w:after="0" w:line="360" w:lineRule="auto"/>
      </w:pPr>
    </w:p>
    <w:p>
      <w:pPr>
        <w:spacing w:after="0" w:line="360" w:lineRule="auto"/>
        <w:rPr>
          <w:szCs w:val="20"/>
        </w:rPr>
      </w:pPr>
      <w:r>
        <w:rPr>
          <w:szCs w:val="20"/>
        </w:rPr>
        <w:t xml:space="preserve">Detalhes, evidências e dados TESTE criados: </w:t>
      </w:r>
      <w:r>
        <w:rPr>
          <w:szCs w:val="20"/>
        </w:rPr>
        <w:t xml:space="preserve">execucao/2026-10-15/resultado.md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ficou para a próxima rodada</w:t>
      </w:r>
    </w:p>
    <w:p>
      <w:pPr>
        <w:numPr>
          <w:ilvl w:val="0"/>
          <w:numId w:val="2"/>
        </w:numPr>
        <w:spacing w:after="0" w:line="360" w:lineRule="auto"/>
        <w:rPr>
          <w:szCs w:val="20"/>
        </w:rPr>
      </w:pPr>
      <w:r>
        <w:rPr>
          <w:szCs w:val="20"/>
        </w:rPr>
        <w:t xml:space="preserve">Resolver ou contornar DV-GQ-011 a DV-GQ-015 para desbloquear os 12 casos Alta pendentes.</w:t>
      </w:r>
    </w:p>
    <w:p>
      <w:pPr>
        <w:numPr>
          <w:ilvl w:val="0"/>
          <w:numId w:val="2"/>
        </w:numPr>
        <w:spacing w:after="0" w:line="360" w:lineRule="auto"/>
        <w:rPr>
          <w:szCs w:val="20"/>
        </w:rPr>
      </w:pPr>
      <w:r>
        <w:rPr>
          <w:szCs w:val="20"/>
        </w:rPr>
        <w:t xml:space="preserve">CT-GQ-025 (acompanhamento), e os casos de prioridade Média e Baixa dos quatro fluxos já roteirizados.</w:t>
      </w:r>
    </w:p>
    <w:p>
      <w:pPr>
        <w:numPr>
          <w:ilvl w:val="0"/>
          <w:numId w:val="2"/>
        </w:numPr>
        <w:spacing w:after="0" w:line="360" w:lineRule="auto"/>
        <w:rPr>
          <w:szCs w:val="20"/>
        </w:rPr>
      </w:pPr>
      <w:r>
        <w:rPr>
          <w:szCs w:val="20"/>
        </w:rPr>
        <w:t xml:space="preserve">Confirmar no dia seguinte o efeito (ou a falta de aviso) da programação regulatória que vence amanhã (CT-GQ-093), já deixada pronta no ambiente.</w:t>
      </w:r>
    </w:p>
    <w:p>
      <w:pPr>
        <w:numPr>
          <w:ilvl w:val="0"/>
          <w:numId w:val="2"/>
        </w:numPr>
        <w:spacing w:after="0" w:line="360" w:lineRule="auto"/>
        <w:rPr>
          <w:szCs w:val="20"/>
        </w:rPr>
      </w:pPr>
      <w:r>
        <w:rPr>
          <w:szCs w:val="20"/>
        </w:rPr>
        <w:t xml:space="preserve">Pedir ao DBA: tabela de histórico da GQ e vínculo de produto e material (a busca vazia pode ser falta de cadastro na Produção).</w:t>
      </w:r>
    </w:p>
    <w:p>
      <w:pPr>
        <w:numPr>
          <w:ilvl w:val="0"/>
          <w:numId w:val="2"/>
        </w:numPr>
        <w:spacing w:after="0" w:line="360" w:lineRule="auto"/>
        <w:rPr>
          <w:szCs w:val="20"/>
        </w:rPr>
      </w:pPr>
      <w:r>
        <w:rPr>
          <w:szCs w:val="20"/>
        </w:rPr>
        <w:t xml:space="preserve">Conferir no Principal as ações do perfil de </w:t>
      </w:r>
      <w:r>
        <w:rPr>
          <w:szCs w:val="20"/>
        </w:rPr>
        <w:t xml:space="preserve">t.consulta</w:t>
      </w:r>
      <w:r>
        <w:rPr>
          <w:szCs w:val="20"/>
        </w:rPr>
        <w:t xml:space="preserve"> na tela Relatório de Desvios (CT-GQ-111).</w:t>
      </w:r>
    </w:p>
    <w:p>
      <w:pPr>
        <w:numPr>
          <w:ilvl w:val="0"/>
          <w:numId w:val="2"/>
        </w:numPr>
        <w:spacing w:after="0" w:line="360" w:lineRule="auto"/>
        <w:rPr>
          <w:szCs w:val="20"/>
        </w:rPr>
      </w:pPr>
      <w:r>
        <w:rPr>
          <w:szCs w:val="20"/>
        </w:rPr>
        <w:t xml:space="preserve">Preparação do ambiente: a avaliação por área depende do campo </w:t>
      </w:r>
      <w:r>
        <w:rPr>
          <w:b/>
          <w:bCs/>
          <w:szCs w:val="20"/>
        </w:rPr>
        <w:t xml:space="preserve">Divisão</w:t>
      </w:r>
      <w:r>
        <w:rPr>
          <w:szCs w:val="20"/>
        </w:rPr>
        <w:t xml:space="preserve"> no cadastro do usuário (Principal), não do Responsável da Estrutura funcional. </w:t>
      </w:r>
      <w:r>
        <w:rPr>
          <w:szCs w:val="20"/>
        </w:rPr>
        <w:t xml:space="preserve">TESTE CADASTRO</w:t>
      </w:r>
      <w:r>
        <w:rPr>
          <w:szCs w:val="20"/>
        </w:rPr>
        <w:t xml:space="preserve"> ficou com Divisão </w:t>
      </w:r>
      <w:r>
        <w:rPr>
          <w:szCs w:val="20"/>
        </w:rPr>
        <w:t xml:space="preserve">TESTE ESTRUTURA FUNCIONAL II</w:t>
      </w:r>
      <w:r>
        <w:rPr>
          <w:szCs w:val="20"/>
        </w:rPr>
        <w:t xml:space="preserve">.</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Relatório de testes</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Relatório de testes</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