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Remessa de Material: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456000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24-remessa-de-material.fluxo.json,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Material pronto: lote com saldo disponível, fora da quarentena, e destinatário e evento cadastrados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Montar a remessa: cabeçalho, Salvar remessa e lotes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Finalizar: comum cria e atende a solicitação, GMM cria a solicitação para o Estoque atender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Finalizou sem erro? (decisão): comum: erro "Erro ao gerar a solicitação do material!" e a remessa fica parada; GMM: segue (Ao finalizar).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Atender e separar: o Estoque faz o atendimento e a separação da solicitação (Depois).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Confirmar carga ou embarque: data de liberação e responsável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Excluir (remessa aberta ou sem solicitação atendida); Reabrir guia (GMM, antes do atendimento); Voltar sem gravar.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Aberta: remessa criada, sem solicitação de estoque. Lista: Solicitado = NÃO, Liberado = NÃO. Pode ser editada, receber lotes, ser excluída (remessa_lst.aspx.cs:202-220; remessa_ed.aspx.cs:83-87).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Finalizada, com solicitação: Solicitado = SIM, Liberado = NÃO. Na versão comum, a solicitação já nasce atendida; na GMM, nasce "Fechado" e espera atendimento e separação do Estoque. Campos travados (remessa_ed.aspx.cs:91 e 98-103; remessa_gmm_ed.aspx.cs:137-150).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Liberada: Liberado = SIM. Só consulta (Visualizar). A remessa guarda data de liberação e responsável (remessa_lst.aspx.cs:202-211).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Kit: marca a remessa criada pelo módulo Kits; não pode ser excluída nem a guia reaberta (remessa_lst.aspx.cs:219-220).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no histórico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Inclusão, alteração e exclusão da remessa e dos lotes, pelo mecanismo de log do Estoque (bllRemessa.cs:59-60, 105-107 e 168-170). O histórico é aberto pelo ícone Ver Log Alteração da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Reabertura da guia (GMM): linha manual "REABERTURA DA REMESSA" (bllRemessa.cs:378-405).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do lote (tela Histórico do Lote) mostra a saída como "atendimento de solicitação" do tipo Cliente, sem o número da remessa, o destino nem o usuário (DV-EST-073 e DV-EST-034, CT-EST-119, 22/10/2026).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Responsável não é gravado no salvar (só na confirmação).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não grava nenhuma mensagem para a Rastreabilidade (DV-EST-072).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33"/>
        <w:gridCol w:w="2735"/>
        <w:gridCol w:w="1737"/>
        <w:gridCol w:w="3226"/>
      </w:tblGrid>
      <w:tr>
        <w:trPr>
          <w:tblHeader/>
          <w:cantSplit/>
        </w:trPr>
        <w:tc>
          <w:tcPr>
            <w:tcW w:w="19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7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7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32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9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TBL_REMESSA</w:t>
            </w:r>
          </w:p>
        </w:tc>
        <w:tc>
          <w:tcPr>
            <w:tcW w:w="2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COD_REMESSA, DATA_REMESSA, ID_CLIENTE (origem), ID_CLIENTE_ENTREGA (local de entrega), ID_TRANSPORTADORA, NUM_VOLUME, VAL_</w:t>
            </w:r>
            <w:r>
              <w:rPr>
                <w:sz w:val="18"/>
                <w:i/>
                <w:iCs/>
                <w:szCs w:val="20"/>
              </w:rPr>
              <w:t xml:space="preserve">, PESO_TOTAL, ID_USUARIO_RESPONSAVEL, DATA_LIBERACAO, ID_SOLICITACAO, ID_ALMOXARIFADO, ID_MOTIVO_SAIDA, ID_TIPO_REMESSA, KIT, FINALIZADO, COMERCIAL, ID_FATURA; da GMM: DATA_EMBARQUE, HORA_EMBARQUE, ID_CENTRO_CUSTO_ORIGEM, ENDERECO_DESTINO, GMM_</w:t>
            </w: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 almoxarifado, empresa, solicitação, centro de custo e motivo de movimentação</w:t>
            </w:r>
          </w:p>
        </w:tc>
        <w:tc>
          <w:tcPr>
            <w:tcW w:w="3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TBL_REMESSA.sql</w:t>
            </w:r>
          </w:p>
        </w:tc>
      </w:tr>
      <w:tr>
        <w:trPr>
          <w:cantSplit/>
        </w:trPr>
        <w:tc>
          <w:tcPr>
            <w:tcW w:w="19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TBL_REMESSA_LOTE</w:t>
            </w:r>
          </w:p>
        </w:tc>
        <w:tc>
          <w:tcPr>
            <w:tcW w:w="2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ID_REMESSA, ID_ITEM_LOTE, QTD_LOTE, VAL_CUSTO_REMESSA, NUM_ITEM; reposição de kit</w:t>
            </w: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 remessa e ao lote</w:t>
            </w:r>
          </w:p>
        </w:tc>
        <w:tc>
          <w:tcPr>
            <w:tcW w:w="3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TBL_REMESSA_LOTE.sql</w:t>
            </w:r>
          </w:p>
        </w:tc>
      </w:tr>
      <w:tr>
        <w:trPr>
          <w:cantSplit/>
        </w:trPr>
        <w:tc>
          <w:tcPr>
            <w:tcW w:w="19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TBL_REMESSA_ITEM</w:t>
            </w:r>
          </w:p>
        </w:tc>
        <w:tc>
          <w:tcPr>
            <w:tcW w:w="2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ID_REMESSA, ID_ITEM, QTDE_ITEM, VAL_UNITARIO (usada na GMM)</w:t>
            </w: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 remessa e ao item</w:t>
            </w:r>
          </w:p>
        </w:tc>
        <w:tc>
          <w:tcPr>
            <w:tcW w:w="3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TBL_REMESSA_ITEM.sql</w:t>
            </w:r>
          </w:p>
        </w:tc>
      </w:tr>
      <w:tr>
        <w:trPr>
          <w:cantSplit/>
        </w:trPr>
        <w:tc>
          <w:tcPr>
            <w:tcW w:w="19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 e itens</w:t>
            </w:r>
          </w:p>
        </w:tc>
        <w:tc>
          <w:tcPr>
            <w:tcW w:w="2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estoque do tipo Cliente criada ao finalizar</w:t>
            </w: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ID_REMESSA</w:t>
            </w:r>
          </w:p>
        </w:tc>
        <w:tc>
          <w:tcPr>
            <w:tcW w:w="3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remessa_ed.aspx.cs:704-778; remessa_gmm_ed.aspx.cs:386-470</w:t>
            </w:r>
          </w:p>
        </w:tc>
      </w:tr>
      <w:tr>
        <w:trPr>
          <w:cantSplit/>
        </w:trPr>
        <w:tc>
          <w:tcPr>
            <w:tcW w:w="19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TBL_MOVIMENTACAO e itens</w:t>
            </w:r>
          </w:p>
        </w:tc>
        <w:tc>
          <w:tcPr>
            <w:tcW w:w="2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do atendimento (saída do estoque, entrada na separação) e da separação</w:t>
            </w: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ID_SOLICITACAO</w:t>
            </w:r>
          </w:p>
        </w:tc>
        <w:tc>
          <w:tcPr>
            <w:tcW w:w="3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pExecutaAtendimento.sql:84-182; pGeraSeparacaoConsumo.sql:47-65</w:t>
            </w:r>
          </w:p>
        </w:tc>
      </w:tr>
      <w:tr>
        <w:trPr>
          <w:cantSplit/>
        </w:trPr>
        <w:tc>
          <w:tcPr>
            <w:tcW w:w="19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de alterações</w:t>
            </w:r>
          </w:p>
        </w:tc>
        <w:tc>
          <w:tcPr>
            <w:tcW w:w="2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 TBL_REMESSA, campo, valor antigo e novo, usuário, justificativa</w:t>
            </w: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nome da tabela no projeto de banco difere do usado no código (confirmar com o DBA)</w:t>
            </w:r>
          </w:p>
        </w:tc>
        <w:tc>
          <w:tcPr>
            <w:tcW w:w="3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bllRemessa.cs:59-60; remessa_lst.aspx.cs:177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39"/>
        <w:gridCol w:w="2394"/>
        <w:gridCol w:w="1948"/>
        <w:gridCol w:w="3350"/>
      </w:tblGrid>
      <w:tr>
        <w:trPr>
          <w:tblHeader/>
          <w:cantSplit/>
        </w:trPr>
        <w:tc>
          <w:tcPr>
            <w:tcW w:w="19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3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9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3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Clientes, empresas, transportadoras (Pessoa Jurídica) e usuários</w:t>
            </w:r>
          </w:p>
        </w:tc>
        <w:tc>
          <w:tcPr>
            <w:tcW w:w="1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 compartilhados</w:t>
            </w:r>
          </w:p>
        </w:tc>
        <w:tc>
          <w:tcPr>
            <w:tcW w:w="3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remessa_ed.aspx.cs:141-187</w:t>
            </w:r>
          </w:p>
        </w:tc>
      </w:tr>
      <w:tr>
        <w:trPr>
          <w:cantSplit/>
        </w:trPr>
        <w:tc>
          <w:tcPr>
            <w:tcW w:w="1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Kits (Estoque)</w:t>
            </w:r>
          </w:p>
        </w:tc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solicitação de kit gera a guia e a remessa</w:t>
            </w:r>
          </w:p>
        </w:tc>
        <w:tc>
          <w:tcPr>
            <w:tcW w:w="1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do Estoque</w:t>
            </w:r>
          </w:p>
        </w:tc>
        <w:tc>
          <w:tcPr>
            <w:tcW w:w="3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CT-EST-153 e 154</w:t>
            </w:r>
          </w:p>
        </w:tc>
      </w:tr>
      <w:tr>
        <w:trPr>
          <w:cantSplit/>
        </w:trPr>
        <w:tc>
          <w:tcPr>
            <w:tcW w:w="1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Comercial</w:t>
            </w:r>
          </w:p>
        </w:tc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Recebe a criação da remessa pela fatura; lê o endereço do cliente</w:t>
            </w:r>
          </w:p>
        </w:tc>
        <w:tc>
          <w:tcPr>
            <w:tcW w:w="1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 do Estoque e chamada ao Comercial</w:t>
            </w:r>
          </w:p>
        </w:tc>
        <w:tc>
          <w:tcPr>
            <w:tcW w:w="3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bllRemessa.cs:411-435 e 438-535</w:t>
            </w:r>
          </w:p>
        </w:tc>
      </w:tr>
      <w:tr>
        <w:trPr>
          <w:cantSplit/>
        </w:trPr>
        <w:tc>
          <w:tcPr>
            <w:tcW w:w="1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Rastreabilidade</w:t>
            </w:r>
          </w:p>
        </w:tc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Apenas lê se o módulo está ligado; não envia dados</w:t>
            </w:r>
          </w:p>
        </w:tc>
        <w:tc>
          <w:tcPr>
            <w:tcW w:w="1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Parâmetro de módulo</w:t>
            </w:r>
          </w:p>
        </w:tc>
        <w:tc>
          <w:tcPr>
            <w:tcW w:w="3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remessa_ed.aspx.cs:682-685; DV-EST-072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Remessa de Material: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Remessa de Material: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