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Principal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, que parte deste mesmo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Principal: acesso ao sistema, sessão, senha, usuários e contas, perfis e permissões, controle de acesso por tela, trilha de auditoria e os cadastros de Ambiente, Equipamento e Pessoa jurídica.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4"/>
        <w:gridCol w:w="6437"/>
      </w:tblGrid>
      <w:tr>
        <w:trPr>
          <w:tblHeader/>
          <w:cantSplit/>
        </w:trPr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6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e por tela, com a situação de cada uma depois dos testes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versão, modelo de dados, integrações e conformidade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das telas do módulo Principal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Risco, achados, plano e resultados dos testes, desvios, rastreabilidade e parecer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de análise do módulo Principal, versão 1.0.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módulo, para definir a prioridade e a profundidade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casos que servem também de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</w:t>
      </w:r>
      <w:r>
        <w:rPr>
          <w:szCs w:val="20"/>
        </w:rPr>
        <w:t xml:space="preserve"> no ambiente de teste da empresa, por automação no navegador (Claude Code com Playwright, no computador da equipe conectado à VPN), com captura de tela de cada passo relevante.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desvios</w:t>
      </w:r>
      <w:r>
        <w:rPr>
          <w:szCs w:val="20"/>
        </w:rPr>
        <w:t xml:space="preserve">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rodadas: 05/10/2026 (inclusão, edição, exclusão e trilha de auditoria) e 05 e 06/10/2026 (login, sessão, senha, perfis e acesso por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 foi gravada em arquivo ou evidência; as capturas mostram as senhas mascaradas.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de teste permanecem no ambiente, por decisão do responsável, para uso nos próximos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2"/>
        <w:gridCol w:w="960"/>
        <w:gridCol w:w="5029"/>
      </w:tblGrid>
      <w:tr>
        <w:trPr>
          <w:tblHeader/>
          <w:cantSplit/>
        </w:trPr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(ERU/URS)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requisitos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 (EF/FS)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 + matriz de permissões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 (DS)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Relacionamentos e interdependências (estrutura do banco e integrações)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classificar cada requisito por impacto (base para priorizar testes)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(IQ, OQ, PQ)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e casos de teste (inclusão, edição, exclusão, carga, segurança)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requisito → regra → teste → resultado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documentos atuais já usam identificadores (RN-PRI, SEG-PRI) para que a matriz de rastreabilidade seja montada sem retrabalho.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2"/>
        <w:gridCol w:w="6769"/>
      </w:tblGrid>
      <w:tr>
        <w:trPr>
          <w:tblHeader/>
          <w:cantSplit/>
        </w:trPr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6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Registra produção, estoque, controle e garantia da qualidade e rastreabilidade de medicamentos (RDC 658/2022).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sistema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  <w:r>
              <w:rPr>
                <w:sz w:val="18"/>
                <w:szCs w:val="20"/>
              </w:rPr>
              <w:t xml:space="preserve"> em integridade de dados e qualidade do produto.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específico do Principal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indireto:</w:t>
            </w:r>
            <w:r>
              <w:rPr>
                <w:sz w:val="18"/>
                <w:szCs w:val="20"/>
              </w:rPr>
              <w:t xml:space="preserve"> o Principal não registra lotes nem análises, mas controla </w:t>
            </w:r>
            <w:r>
              <w:rPr>
                <w:sz w:val="18"/>
                <w:b/>
                <w:bCs/>
                <w:szCs w:val="20"/>
              </w:rPr>
              <w:t xml:space="preserve">quem pode fazer o quê</w:t>
            </w:r>
            <w:r>
              <w:rPr>
                <w:sz w:val="18"/>
                <w:szCs w:val="20"/>
              </w:rPr>
              <w:t xml:space="preserve"> em todos os módulos e guarda a </w:t>
            </w: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  <w:r>
              <w:rPr>
                <w:sz w:val="18"/>
                <w:szCs w:val="20"/>
              </w:rPr>
              <w:t xml:space="preserve">. Uma falha aqui compromete a confiabilidade de todos os registros dos outros módulos.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 de risco</w:t>
      </w:r>
      <w:r>
        <w:rPr>
          <w:szCs w:val="20"/>
        </w:rPr>
        <w:t xml:space="preserve"> = Severidade × Probabilidade: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2597"/>
        <w:gridCol w:w="2597"/>
        <w:gridCol w:w="2540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 \ P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2545"/>
        <w:gridCol w:w="2545"/>
        <w:gridCol w:w="245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 \ D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Profundidade de teste por prioridade: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Alta:</w:t>
      </w:r>
      <w:r>
        <w:rPr>
          <w:szCs w:val="20"/>
        </w:rPr>
        <w:t xml:space="preserve"> todos os cenários (positivos e negativos), com evidência; teste repetido na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Média:</w:t>
      </w:r>
      <w:r>
        <w:rPr>
          <w:szCs w:val="20"/>
        </w:rPr>
        <w:t xml:space="preserve"> cenários principais e os negativos mais prováveis, com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Baixa:</w:t>
      </w:r>
      <w:r>
        <w:rPr>
          <w:szCs w:val="20"/>
        </w:rPr>
        <w:t xml:space="preserve"> cenário principal, por amostragem.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79"/>
        <w:gridCol w:w="1233"/>
        <w:gridCol w:w="1157"/>
        <w:gridCol w:w="551"/>
        <w:gridCol w:w="551"/>
        <w:gridCol w:w="551"/>
        <w:gridCol w:w="627"/>
        <w:gridCol w:w="930"/>
        <w:gridCol w:w="1157"/>
        <w:gridCol w:w="1082"/>
        <w:gridCol w:w="1013"/>
      </w:tblGrid>
      <w:tr>
        <w:trPr>
          <w:tblHeader/>
          <w:cantSplit/>
        </w:trPr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concedida a mais, sem revisão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conta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acessos; segregação de funções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037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de usuário inativo, vencido ou bloqueado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Verificações em sequência; bloqueio após 4 erros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mensagem única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Perda de registro com histórico BPF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lógica; verificação de dependências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informar quais dependências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 a 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motivo registrado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na tela de exclusão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também no servidor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errada de área limpa, refletida na produção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(regras do cadastro)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ou instrumento errado ligado ao ambiente; manutenção não registrada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 usado em outros módulos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com o Estoque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prazo não enviado (ex.: documento a aprovar)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Rotina automática com registro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corrigir a estrutura de status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 a 064; 06, item 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obrigatório escondido por configuração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Restrito a administrador (a confirmar)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necessidade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errado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Fontes oficiais (IBGE)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5"/>
        <w:gridCol w:w="5411"/>
        <w:gridCol w:w="1895"/>
      </w:tblGrid>
      <w:tr>
        <w:trPr>
          <w:tblHeader/>
          <w:cantSplit/>
        </w:trPr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R-PRI-01, 02, 03, 04, 05, 06, 08, 09, 10, 16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R-PRI-07, 12, 13, 17, 18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R-PRI-11, 14, 15, 19, 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os riscos altos estão concentrados em </w:t>
      </w:r>
      <w:r>
        <w:rPr>
          <w:b/>
          <w:bCs/>
          <w:szCs w:val="20"/>
        </w:rPr>
        <w:t xml:space="preserve">segurança de acesso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integridade da trilha de auditoria</w:t>
      </w:r>
      <w:r>
        <w:rPr>
          <w:szCs w:val="20"/>
        </w:rPr>
        <w:t xml:space="preserve">, justamente as duas responsabilidades do Principal perante os outros módulos. Os cadastros têm risco menor, porque os controles atuais (exclusão lógica, histórico) já reduzem o dano.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Homologar o sistema atual:</w:t>
      </w:r>
      <w:r>
        <w:rPr>
          <w:szCs w:val="20"/>
        </w:rPr>
        <w:t xml:space="preserve"> confirmar no ambiente de teste o comportamento extraído do código e registrar as diferenças. 2. </w:t>
      </w:r>
      <w:r>
        <w:rPr>
          <w:b/>
          <w:bCs/>
          <w:szCs w:val="20"/>
        </w:rPr>
        <w:t xml:space="preserve">Definir os testes de aceite da nova versão:</w:t>
      </w:r>
      <w:r>
        <w:rPr>
          <w:szCs w:val="20"/>
        </w:rPr>
        <w:t xml:space="preserve"> cada caso diz o resultado esperado </w:t>
      </w:r>
      <w:r>
        <w:rPr>
          <w:b/>
          <w:bCs/>
          <w:szCs w:val="20"/>
        </w:rPr>
        <w:t xml:space="preserve">na nova versão</w:t>
      </w:r>
      <w:r>
        <w:rPr>
          <w:szCs w:val="20"/>
        </w:rPr>
        <w:t xml:space="preserve">. Quando o sistema atual tem uma falha conhecida, o caso indica "No atual: falha esperada", com o achado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10"/>
        <w:gridCol w:w="5521"/>
      </w:tblGrid>
      <w:tr>
        <w:trPr>
          <w:tblHeader/>
          <w:cantSplit/>
        </w:trPr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Dentro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Fora (nesta versão do plano)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Login, sessão e senha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com muitos usuários simultâneos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contas, perfis e permissões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por e-mail (dependem de servidor de e-mail no ambiente de teste)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por serviço com outros módulos (testadas com cada módulo)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e exclusão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(infraestrutura)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ambiente, equipamento, pessoa jurídica (amostra)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cadastros: amostragem conforme o risco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 e preparação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Definição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de teste da empresa (nunca produção). Pode receber dados fictícios e exclusões.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Navegador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Chrome ou Edge atualizado.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testada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no início de cada rodada: versão do sistema (tela inicial ou </w:t>
            </w:r>
            <w:r>
              <w:rPr>
                <w:sz w:val="18"/>
                <w:szCs w:val="20"/>
              </w:rPr>
              <w:t xml:space="preserve">SIS_CONFIGURACAO.VERSAO_SISTEMA</w:t>
            </w:r>
            <w:r>
              <w:rPr>
                <w:sz w:val="18"/>
                <w:szCs w:val="20"/>
              </w:rPr>
              <w:t xml:space="preserve">) e data.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fictícios. Nenhum CPF ou nome real.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3"/>
        <w:gridCol w:w="6668"/>
      </w:tblGrid>
      <w:tr>
        <w:trPr>
          <w:tblHeader/>
          <w:cantSplit/>
        </w:trPr>
        <w:tc>
          <w:tcPr>
            <w:tcW w:w="2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6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todas as ações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Perfis: só Consultar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Pessoa jurídica: Consultar, Incluir, Alterar (sem Excluir, sem Imprimir)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tela inicial e um cadastro qualquer (sem nenhuma tela de Administração)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Usuários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5"/>
        <w:gridCol w:w="3369"/>
        <w:gridCol w:w="3387"/>
      </w:tblGrid>
      <w:tr>
        <w:trPr>
          <w:tblHeader/>
          <w:cantSplit/>
        </w:trPr>
        <w:tc>
          <w:tcPr>
            <w:tcW w:w="2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t.consulta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t.cadastro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t.inativo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t.containativa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t.vencido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já encerrada (data fim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t.futuro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amanhã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t.senhavencida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 (validade da senha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t.bloqueio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Ativo; usado nos testes de bloqueio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Guarde a senha de cada usuário de teste num local seguro da equipe, nunca neste repositório.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alta:</w:t>
      </w:r>
      <w:r>
        <w:rPr>
          <w:szCs w:val="20"/>
        </w:rPr>
        <w:t xml:space="preserve"> captura de tela de cada passo relevante e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média:</w:t>
      </w:r>
      <w:r>
        <w:rPr>
          <w:szCs w:val="20"/>
        </w:rPr>
        <w:t xml:space="preserve"> captura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baixa:</w:t>
      </w:r>
      <w:r>
        <w:rPr>
          <w:szCs w:val="20"/>
        </w:rPr>
        <w:t xml:space="preserve"> registro de "passou/falhou".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em cada execução: data, executor, versão, resultado (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executado</w:t>
      </w:r>
      <w:r>
        <w:rPr>
          <w:szCs w:val="20"/>
        </w:rPr>
        <w:t xml:space="preserve">) 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falha gera um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com: caso, passos para reproduzir, resultado obtido, evidência e gravidade.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6"/>
        <w:gridCol w:w="7155"/>
      </w:tblGrid>
      <w:tr>
        <w:trPr>
          <w:tblHeader/>
          <w:cantSplit/>
        </w:trPr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Critério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do sistema atual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casos executados; falhas registradas como desvio. As falhas já conhecidas (achados SEG) confirmam ou não o achado.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Aceite da nova versão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100% dos casos de prioridade alta</w:t>
            </w:r>
            <w:r>
              <w:rPr>
                <w:sz w:val="18"/>
                <w:szCs w:val="20"/>
              </w:rPr>
              <w:t xml:space="preserve"> aprovados; prioridade média com no máximo desvios de gravidade baixa, com plano de correção aprovado pela Garantia da Qualidade.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por grupo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2"/>
        <w:gridCol w:w="1686"/>
        <w:gridCol w:w="2213"/>
      </w:tblGrid>
      <w:tr>
        <w:trPr>
          <w:tblHeader/>
          <w:cantSplit/>
        </w:trPr>
        <w:tc>
          <w:tcPr>
            <w:tcW w:w="57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 alta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tela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(por cadastro testado)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geral por caso. Para os casos 090 a 097, vale o pior resultado entre Ambiente, Equipamento e Pessoa jurídica (detalhe no resultado.md da rodada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78"/>
        <w:gridCol w:w="3879"/>
        <w:gridCol w:w="2374"/>
      </w:tblGrid>
      <w:tr>
        <w:trPr>
          <w:tblHeader/>
          <w:cantSplit/>
        </w:trPr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002, 004, 007, 009, 011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(depois da virada do dia)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(registro da tentativa: DBA)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DBA)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CT-PRI-020, 021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031, 032, 033, 035, 039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deu para ver a senha vencida)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a 043, 045, 046, 049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CT-PRI-051, 052, 053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(053 com DV-PRI-024: perfil sem justificativa)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(relatório sem funções e sem data da última alteração)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062, 064, 069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CT-PRI-061, 063, 065, 066, 067, 068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DV-PRI-014</w:t>
            </w:r>
          </w:p>
        </w:tc>
      </w:tr>
      <w:tr>
        <w:trPr>
          <w:cantSplit/>
        </w:trPr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a 097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resultado.md da rodada 1</w:t>
            </w:r>
          </w:p>
        </w:tc>
        <w:tc>
          <w:tcPr>
            <w:tcW w:w="2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 a 013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Requisitos com resultado preenchido na seção 2: 8 Passou, 18 Falhou, 5 Parcial. Os 39 restantes continuam "Não executado".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por funcionalidade (CT-PRI-090 a 097)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222"/>
        <w:gridCol w:w="2529"/>
        <w:gridCol w:w="244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Ambiente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Equipamento</w:t>
            </w:r>
          </w:p>
        </w:tc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Pessoa jurídica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Incluir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Obrigatórios e formatos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 (datas a repetir manualmente)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Alterar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Inativar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Excluir sem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DV-PRI-009)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no reteste, após remover a manutenção vinculada (DV-PRI-009)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Excluir com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(dependentes em outros módulos)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Pesquisa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Relatório e Excel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3"/>
        <w:gridCol w:w="1049"/>
        <w:gridCol w:w="1154"/>
        <w:gridCol w:w="1154"/>
        <w:gridCol w:w="1471"/>
      </w:tblGrid>
      <w:tr>
        <w:trPr>
          <w:tblHeader/>
          <w:cantSplit/>
        </w:trPr>
        <w:tc>
          <w:tcPr>
            <w:tcW w:w="4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(05/10/2026): usuários, cadastros e trilha de auditoria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(05 e 06/10/2026): login, sessão, senha, perfis e acesso por tela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1"/>
        <w:gridCol w:w="1476"/>
        <w:gridCol w:w="4181"/>
        <w:gridCol w:w="2093"/>
      </w:tblGrid>
      <w:tr>
        <w:trPr>
          <w:tblHeader/>
          <w:cantSplit/>
        </w:trPr>
        <w:tc>
          <w:tcPr>
            <w:tcW w:w="1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gravado em maiúsculas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"VALIDADE INÍCIO" sem mudança no histórico da conta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excluído sem aviso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não ignora acentos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recém-criado não excluía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Encerrado: explicado pela regra de itens vinculados (RN-PRI-071)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fora do histórico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Link do módulo Patrimônio aponta para o próprio servidor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sem diferenciar maiúsculas e minúsculas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DV-PRI-022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 contornada pelo endereço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de permissões sem justificativa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Totais: 5 de gravidade alta, 12 média, 8 baixa e 1 encerrado.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63"/>
        <w:gridCol w:w="2968"/>
      </w:tblGrid>
      <w:tr>
        <w:trPr>
          <w:tblHeader/>
          <w:cantSplit/>
        </w:trPr>
        <w:tc>
          <w:tcPr>
            <w:tcW w:w="6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(RF e RNF)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por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de outra forma (inspeção, procedimento, decisão pendente)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 (seção 4)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com requisito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 de 20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de prioridade alta com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de 10 (os outros 2, por inspeção)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Risco → requisito →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2"/>
        <w:gridCol w:w="2545"/>
        <w:gridCol w:w="1431"/>
        <w:gridCol w:w="2026"/>
        <w:gridCol w:w="2317"/>
      </w:tblGrid>
      <w:tr>
        <w:trPr>
          <w:tblHeader/>
          <w:cantSplit/>
        </w:trPr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Requisitos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Armazenamento de senhas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CT-PRI-012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Pesquisas e listagens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CT-PRI-100, CT-PRI-101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CT-PRI-061, CT-PRI-062, CT-PRI-063, CT-PRI-064, CT-PRI-065, CT-PRI-066, CT-PRI-067, CT-PRI-068, CT-PRI-069, CT-PRI-070, CT-PRI-071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RF-PRI-037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CT-PRI-054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RF-PRI-043, RNF-PRI-010, RNF-PRI-011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CT-PRI-053, CT-PRI-080, CT-PRI-081, CT-PRI-083, CT-PRI-084, CT-PRI-092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RF-PRI-002, RF-PRI-004, RF-PRI-023, RF-PRI-027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CT-PRI-004, CT-PRI-005, CT-PRI-006, CT-PRI-007, CT-PRI-008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CT-PRI-036, CT-PRI-037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Redefinição de senha pelo administrador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CT-PRI-039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entre módulos (SSO)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RF-PRI-040, RF-PRI-041, 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CT-PRI-048, CT-PRI-049, CT-PRI-094, CT-PRI-095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por sinônimos (Estoque e Produção)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RF-PRI-060, RF-PRI-061, RF-PRI-062, RF-PRI-063, RF-PRI-064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erros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RF-PRI-003, RNF-PRI-006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CT-PRI-103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2"/>
        <w:gridCol w:w="2929"/>
      </w:tblGrid>
      <w:tr>
        <w:trPr>
          <w:tblHeader/>
          <w:cantSplit/>
        </w:trPr>
        <w:tc>
          <w:tcPr>
            <w:tcW w:w="6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CT-PRI-036 (senha vencida) quando a senha de teste vencer, ou com a data ajustada pelo DBA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CT-PRI-081 a 085 (trilha de auditoria), 100 a 104 (segurança da aplicação) e 110 a 113 (carga de dados)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manualmente as datas inválidas do cadastro de Equipamento (CT-PRI-091)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se a recusa do envio forçado (CT-PRI-070) é checagem de permissão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o conteúdo do relatório de revisão de acessos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Negócio e Garantia da Qualidade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os demais cadastros do módulo Principal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nos 78 casos executados, nas evidências registradas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adequada para a nova versão.</w:t>
      </w:r>
      <w:r>
        <w:rPr>
          <w:szCs w:val="20"/>
        </w:rPr>
        <w:t xml:space="preserve"> Os mecanismos essenciais existem e funcionam na maior parte dos casos: login com bloqueio, validade de senha e de conta, perfis com soma de permissões, exclusão lógica e histórico campo a campo. As correções estão descritas na Análise de Requisitos, com origem e prioridade.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no servidor em todas as telas e ações (RF-PRI-032);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tela (RF-PRI-007);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exclusão e alteração de todos os cadastros, e manter o histórico do registro excluído consultável (RF-PRI-042, RF-PRI-044);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consulta (RF-PRI-033).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Dossiê de homologação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Dossiê de homologação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