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Motivos: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as amostras de referência e retenção sejam mantidas e controladas e que os registros e as alterações sejam rastreáveis, com o motivo. A tela Motivos atende em parte: liga o motivo ao almoxarifado regulatório e registra o histórico no código, mas qualquer pessoa grava, inclusive quem só consulta (DV-CQ-036, Alta), e o motivo da alteração é um ponto fixo.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67"/>
        <w:gridCol w:w="1355"/>
        <w:gridCol w:w="4537"/>
        <w:gridCol w:w="1272"/>
      </w:tblGrid>
      <w:tr>
        <w:trPr>
          <w:tblHeader/>
          <w:cantSplit/>
        </w:trPr>
        <w:tc>
          <w:tcPr>
            <w:tcW w:w="2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"amostras de referência suficientes de matérias-primas e produtos devem ser mantidas de acordo com a instrução normativa específica para permitir a futura análise do produto, se necessário."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14, VIII</w:t>
            </w:r>
          </w:p>
        </w:tc>
        <w:tc>
          <w:tcPr>
            <w:tcW w:w="4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marca a solicitação como regulatória e define o almoxarifado onde a amostra fica guardada (AmostragemController.cs:204-212). Quantidade e prazo de guarda ficam fora desta tela (leitura da área). Um motivo pode ser criado, alterado e excluído por qualquer pessoa (DV-CQ-036, Alta)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"supervisionar o controle da referência e/ou retenção de amostras de materiais e produtos quando aplicável;"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236, II</w:t>
            </w:r>
          </w:p>
        </w:tc>
        <w:tc>
          <w:tcPr>
            <w:tcW w:w="4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cadastra o tipo de almoxarifado do motivo; o controle das amostras guardadas é do Estoque (</w:t>
            </w:r>
            <w:r>
              <w:rPr>
                <w:sz w:val="18"/>
                <w:szCs w:val="20"/>
              </w:rPr>
              <w:t xml:space="preserve">3.estoque/fluxos/almoxarifado-cq.md</w:t>
            </w:r>
            <w:r>
              <w:rPr>
                <w:sz w:val="18"/>
                <w:szCs w:val="20"/>
              </w:rPr>
              <w:t xml:space="preserve">). Quem altera o motivo não deixa justificativa legível (RN-CQ-T02-005)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"garantir o monitoramento da estabilidade dos produtos; e"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236, IV</w:t>
            </w:r>
          </w:p>
        </w:tc>
        <w:tc>
          <w:tcPr>
            <w:tcW w:w="4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do almoxarifado de estabilidade é exigido para gerar a solicitação de cada tempo do estudo (AcompanhamentoController.cs:405-413). Não foi visto em tela, porque nenhum acompanhamento se abriu (DV-EST-074; CT-CQ-045, Bloqueado, 23/10/2026)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são gravadas no histórico pelo código (MotivosController.cs:153, 189 e 247). Nenhum teste consultou o Ver Log de um motivo. A lista impressa de motivos (CT-CQ-R2-REL-06, 30/10/2026) sai correta, com usuário e data de impressão, mas em formato americano e sem total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grava campo, valor antigo, valor novo, usuário, data e hora. Na exclusão o histórico guarda só o texto e a descrição (RN-CQ-T02-006). Não há assinatura eletrônica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tem campo de justificativa: o sistema grava um ponto (".") em toda alteração (MotivosController.cs:189), e a exclusão também não pede motivo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perfil que só tem a consulta abriu o formulário pelo endereço e gravou o motivo nº 3 (CT-CQ-R2-AC-17, 28/10/2026, DV-CQ-036, </w:t>
            </w:r>
            <w:r>
              <w:rPr>
                <w:sz w:val="18"/>
                <w:b/>
                <w:bCs/>
                <w:szCs w:val="20"/>
              </w:rPr>
              <w:t xml:space="preserve">Alta</w:t>
            </w:r>
            <w:r>
              <w:rPr>
                <w:sz w:val="18"/>
                <w:szCs w:val="20"/>
              </w:rPr>
              <w:t xml:space="preserve">). Nenhuma ação do controlador tem filtro de autorização; a regra de acesso está na seção de segurança do documento da tela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trilha é gravada pelo código; a exclusão remove o registro e deixa só o texto. A leitura pelo Ver Log não foi testada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exige descrição e tipo (CT-CQ-035). O servidor não confere e não há conferência de repetição (RN-CQ-T02-007)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"Motivo já está em uso!" e as mensagens de campo em branco são claras; o erro de gravação é genérico ("Ocorreu um erro inesperado.")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define para qual almoxarifado vão as amostras de retenção e de estabilidade, e quem pode mudar isso? Hoje, qualquer pessoa com a tela (DV-CQ-036). 2. Houve mudança de motivo ou de almoxarifado? Quando, por quem e por quê? Em parte: a alteração grava o valor antigo e o novo, mas o motivo é um ponto. 3. Um motivo já usado foi apagado? O sistema recusa o motivo ligado a solicitação, mas a exclusão de verdade não guarda os valores. 4. Há dois motivos para o mesmo almoxarifado? O sistema não impede.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a permissão de incluir, alterar e excluir motivo (DV-CQ-036; Guia 33, 9.3.2.3).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o motivo da alteração e da exclusão ao usuário (art. 125,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motivo repetido por almoxarifado e inativar em vez de excluir de vez (RN-CQ-T02-003, 004 e 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histórico de qualquer motivo, mesmo excluído, com os valores anteriores.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a falta do almoxarifado no Estoque na lista e no relatório (RN-CQ-T02-008).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Motivos: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Motivos: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