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Regra Estabilidade: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o programa de estabilidade seja descrito em protocolo (lotes, métodos, critérios, pontos de teste, condições de armazenamento) e que as mudanças nesse documento sejam rastreáveis, com o motivo. A tela Regra Estabilidade atende em parte: define os pontos de análise e confere a ordem dos dias, mas não é um protocolo, altera sem justificativa e sem histórico (DV-CQ-017) e aceita regras duplicadas (DV-CQ-016).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nº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06"/>
        <w:gridCol w:w="1379"/>
        <w:gridCol w:w="4567"/>
        <w:gridCol w:w="1279"/>
      </w:tblGrid>
      <w:tr>
        <w:trPr>
          <w:tblHeader/>
          <w:cantSplit/>
        </w:trPr>
        <w:tc>
          <w:tcPr>
            <w:tcW w:w="24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5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programa de estabilidade de acompanhamento deve ser descrito em um protocolo."</w:t>
            </w:r>
          </w:p>
        </w:tc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275</w:t>
            </w:r>
          </w:p>
        </w:tc>
        <w:tc>
          <w:tcPr>
            <w:tcW w:w="4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regra guarda só os dias de cada tempo por tipo de estudo; não tem os demais campos de um protocolo (RN-CQ-081; TBL_REGRA_ESTABILIDADE.sql:1-17)</w:t>
            </w:r>
          </w:p>
        </w:tc>
        <w:tc>
          <w:tcPr>
            <w:tcW w:w="1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"VI - intervalos de teste (pontos de análise);"</w:t>
            </w:r>
          </w:p>
        </w:tc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277, VI</w:t>
            </w:r>
          </w:p>
        </w:tc>
        <w:tc>
          <w:tcPr>
            <w:tcW w:w="4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Define T0, T1, T2… em dias por tipo de estudo. A tela confere ordem crescente e T0 vazio ou 0 (CT-CQ-040, 23/10/2026) e, no reteste de 29/10/2026, também o valor negativo no último tempo (CT-CQ-N-34); o servidor não confere (RN-CQ-078). A regra foi salva sem prazo em 23/10/2026 (CT-CQ-N-35, DV-CQ-016) e em 29/10/2026 a mesma ação deu "Ocorreu um erro inesperado." (DV-CQ-041)</w:t>
            </w:r>
          </w:p>
        </w:tc>
        <w:tc>
          <w:tcPr>
            <w:tcW w:w="1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 - número de lote(s) por concentração e tamanhos de lotes diferentes, se aplicável;"</w:t>
            </w:r>
          </w:p>
        </w:tc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277, I</w:t>
            </w:r>
          </w:p>
        </w:tc>
        <w:tc>
          <w:tcPr>
            <w:tcW w:w="4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campo de número de lotes, concentração nem tamanho de lote</w:t>
            </w:r>
          </w:p>
        </w:tc>
        <w:tc>
          <w:tcPr>
            <w:tcW w:w="1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"II - métodos de ensaio físico, químico, microbiológico e biológico pertinentes;"</w:t>
            </w:r>
          </w:p>
        </w:tc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277, II</w:t>
            </w:r>
          </w:p>
        </w:tc>
        <w:tc>
          <w:tcPr>
            <w:tcW w:w="4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regra não guarda métodos. Os ensaios são escolhidos a cada tempo, na tela do Acompanhamento, entre as regras de análise do item (leitura da área; </w:t>
            </w:r>
            <w:r>
              <w:rPr>
                <w:sz w:val="18"/>
                <w:szCs w:val="20"/>
              </w:rPr>
              <w:t xml:space="preserve">AcompanhamentoController.cs:548-591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"III - critérios de aceitação;"</w:t>
            </w:r>
          </w:p>
        </w:tc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277, III</w:t>
            </w:r>
          </w:p>
        </w:tc>
        <w:tc>
          <w:tcPr>
            <w:tcW w:w="4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critério de aceitação na regra; ele vem das regras de análise escolhidas na hora de gerar cada solicitação (leitura da área)</w:t>
            </w:r>
          </w:p>
        </w:tc>
        <w:tc>
          <w:tcPr>
            <w:tcW w:w="1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"VII - descrição das condições de armazenamento, sendo que devem ser utilizadas as condições padronizadas no regulamento específico vigente; e"</w:t>
            </w:r>
          </w:p>
        </w:tc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277, VII</w:t>
            </w:r>
          </w:p>
        </w:tc>
        <w:tc>
          <w:tcPr>
            <w:tcW w:w="4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campo de condição de armazenamento; "acelerada", "longa duração" e "prateleira" são tipos de estudo, não a descrição da condição. A temperatura aparece só em texto livre no fim do estudo (tela Final de Estabilidade)</w:t>
            </w:r>
          </w:p>
        </w:tc>
        <w:tc>
          <w:tcPr>
            <w:tcW w:w="1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"Ao menos um lote por ano de produtos fabricados em todas as concentrações e em todos os tipos de embalagens primárias, deve ser incluído no programa de estabilidade, a menos que se justifique o contrário."</w:t>
            </w:r>
          </w:p>
        </w:tc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280</w:t>
            </w:r>
          </w:p>
        </w:tc>
        <w:tc>
          <w:tcPr>
            <w:tcW w:w="4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regra não tem concentração nem embalagem primária e nada confere se algum lote por ano entrou no programa</w:t>
            </w:r>
          </w:p>
        </w:tc>
        <w:tc>
          <w:tcPr>
            <w:tcW w:w="1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124</w:t>
            </w:r>
          </w:p>
        </w:tc>
        <w:tc>
          <w:tcPr>
            <w:tcW w:w="4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ou alterar a regra não deixa histórico algum; o Ver Log responde "NÃO EXISTE LOG DE ALTERAÇÃO PARA ESTE REGISTRO." (CT-CQ-042, 23/10/2026, DV-CQ-017, Média). Ficam só o usuário e a data da última alteração na tabela</w:t>
            </w:r>
          </w:p>
        </w:tc>
        <w:tc>
          <w:tcPr>
            <w:tcW w:w="1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</w:t>
            </w:r>
          </w:p>
        </w:tc>
        <w:tc>
          <w:tcPr>
            <w:tcW w:w="4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apaga os tempos antigos e grava os novos; o valor original se perde, sem assinatura e sem histórico (RN-CQ-079; CT-CQ-042)</w:t>
            </w:r>
          </w:p>
        </w:tc>
        <w:tc>
          <w:tcPr>
            <w:tcW w:w="1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125, parágrafo único</w:t>
            </w:r>
          </w:p>
        </w:tc>
        <w:tc>
          <w:tcPr>
            <w:tcW w:w="4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pede justificativa ao alterar a regra (CT-CQ-042, DV-CQ-017)</w:t>
            </w:r>
          </w:p>
        </w:tc>
        <w:tc>
          <w:tcPr>
            <w:tcW w:w="1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"garantir o monitoramento da estabilidade dos produtos; e"</w:t>
            </w:r>
          </w:p>
        </w:tc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236, IV</w:t>
            </w:r>
          </w:p>
        </w:tc>
        <w:tc>
          <w:tcPr>
            <w:tcW w:w="4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regra é o primeiro passo do monitoramento, mas nenhum estudo se abriu nos testes (DV-EST-074; CT-EST-173, 22/10/2026) e a regra desativada continua em uso (RN-CQ-T03-007)</w:t>
            </w:r>
          </w:p>
        </w:tc>
        <w:tc>
          <w:tcPr>
            <w:tcW w:w="1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usuário sem função do CQ abriu a Regra Estabilidade pelo menu (CT-CQ-074, 23/10/2026) e o perfil só de consulta viu Salvar e Incluir Tempo (CT-CQ-R2-AC-18, 28/10/2026), DV-CQ-015 (Média). Nenhuma ação tem filtro de autorização; a regra de acesso está na seção de segurança do documento da tela</w:t>
            </w:r>
          </w:p>
        </w:tc>
        <w:tc>
          <w:tcPr>
            <w:tcW w:w="1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gravação desta tela entra na trilha (RN-CQ-T03-010)</w:t>
            </w:r>
          </w:p>
        </w:tc>
        <w:tc>
          <w:tcPr>
            <w:tcW w:w="1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valida ordem e preenchimento dos dias; o servidor não; sem tamanho máximo nem conferência de duplicidade (RN-CQ-T03-003 e 004)</w:t>
            </w:r>
          </w:p>
        </w:tc>
        <w:tc>
          <w:tcPr>
            <w:tcW w:w="1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 de dia inválido dizem o tipo de estudo e o tempo. O erro de gravação é genérico ("Ocorreu um erro inesperado.", DV-CQ-041, visto em 28 e 29/10/2026), a recusa de item de código com letras diz só "Selecione um item." (DV-EST-075) e uma mensagem tem o rótulo trocado ("tipo de análise" para "tipo de item")</w:t>
            </w:r>
          </w:p>
        </w:tc>
        <w:tc>
          <w:tcPr>
            <w:tcW w:w="12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Mostre o protocolo do programa de estabilidade deste produto. Em parte: a regra tem os pontos de análise; faltam condições, métodos, critérios e lotes. 2. Quando este protocolo foi alterado, por quem e por quê? Não: a alteração não deixa histórico nem justificativa (DV-CQ-017). 3. Quais lotes entraram no programa este ano? O sistema não controla (art. 280). 4. Quem pode alterar o protocolo? Qualquer pessoa que abra a tela (DV-CQ-015). 5. Se a regra estava desativada, por que o estudo foi aberto? O sistema não olha o Ativo ao abrir (RN-CQ-T03-007).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Transformar a regra em protocolo, com lotes, métodos, critérios de aceitação e condição de armazenamento (arts. 275 e 277; RN-CQ-081).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justificativa e gravar histórico, com os tempos antigos e novos, a cada alteração (arts. 124 e 125; DV-CQ-017).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Impedir regra repetida (mesmo item, tipo e estudo) e regra sem prazo; conferir no servidor a ordem dos dias (DV-CQ-016; RN-CQ-078).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os tempos numa única transação, para nunca deixar a regra sem os tempos (RN-CQ-T03-005).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Travar ou versionar a regra com estudos abertos; fazer o Ativo valer na abertura dos estudos.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no servidor a função de estabilidade e a permissão de alterar (DV-CQ-015, DV-CQ-022).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Controlar o mínimo de um lote por ano por produto e concentração (art. 280).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Regra Estabilidade: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Regra Estabilidade: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