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Estabilidade: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26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04-acompanhamento-estabilidade.fluxo.json, em 4 fases e 7 etapas.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Estudo aberto pelo Estoque: produto acabado com regra, motivo e almoxarifado de estabilidade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o estudo: filtros e lista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tempo já tem solicitação? (decisão): sim, acompanha; não, o ícone Gerar Solicitação aparece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a solicitação do tempo: marcar as regras de análise e confirmar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Interromper o estudo? (decisão): confere pendências na tela e pede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Gravação: cria a solicitação do tempo ou interrompe o estudo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Fluxo normal da solicitação e Final de Estabilidade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sem regra, nenhum estudo se abre; lista vazia; recusas por almoxarifado, motivo ou solicitação T0 ausentes.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7"/>
        <w:gridCol w:w="2111"/>
        <w:gridCol w:w="1968"/>
        <w:gridCol w:w="3835"/>
      </w:tblGrid>
      <w:tr>
        <w:trPr>
          <w:tblHeader/>
          <w:cantSplit/>
        </w:trPr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entra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3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 (1)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abre o estudo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as solicitações tempo a tempo; Interromper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ESituacaoAcompanhamento.cs:5-9; Api/AcompanhamentoEstabilidadeController.cs:203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Interrompido (2)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"Interromper Estudo", com justificativa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(não há reabertura)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AcompanhamentoController.cs:140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 (3)</w:t>
            </w:r>
          </w:p>
        </w:tc>
        <w:tc>
          <w:tcPr>
            <w:tcW w:w="2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Final de Estabilidade conclui o estudo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tempo mostra a situação da solicitação ou da análise (AGUARDANDO, ..., LAUDO LIBERADO) (AcompanhamentoController.cs:286-353).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Solicitação:</w:t>
      </w:r>
      <w:r>
        <w:rPr>
          <w:szCs w:val="20"/>
        </w:rPr>
        <w:t xml:space="preserve"> a inclusão da solicitação de análise do tempo (AcompanhamentoController.cs:457).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Interromper:</w:t>
      </w:r>
      <w:r>
        <w:rPr>
          <w:szCs w:val="20"/>
        </w:rPr>
        <w:t xml:space="preserve"> uma linha de histórico com a justificativa (AcompanhamentoController.cs:146).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estudo pelo Estoque (a API não escreve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das regras de análise à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automática de unidade de medida (RN-CQ-T04-004).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dessas gravações foi vista 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9"/>
        <w:gridCol w:w="2350"/>
        <w:gridCol w:w="1382"/>
        <w:gridCol w:w="2950"/>
      </w:tblGrid>
      <w:tr>
        <w:trPr>
          <w:tblHeader/>
          <w:cantSplit/>
        </w:trPr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ID_ACOMPANHAMENTO, CODIGO (15), ID_REGRA_ESTABILIDADE, ID_ITEM_ANALISE, DESCRICAO_ITEM, ID_TIPO_ANALISE, LOTE_FABRICANTE, ITEM_ENTRADA, TIPO_ESTABILIDADE, STATUS, e os campos do fim do estudo (temperatura, observação, conclusão, situação final)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estrangeiras para o item de análise, a regra e o tipo de análise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TBL_ACOMPANHAMENTO_ESTABILIDADE.sql:1-35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TBL_ACOMPANHAMENTO_ESTABILIDADE_DET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ID_DETALHE, ID_ACOMPANHAMENTO, TEMPO, QTD_DIAS, ID_SOLICITACAO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estudo por chave estrangeira; a solicitação do tempo, sem chave estrangeira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TBL_ACOMPANHAMENTO_ESTABILIDADE_DET.sql:1-20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criada para cada tempo (motivo, estabilidade, tipo, tempo)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motivo e à regra de estabilidade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AcompanhamentoController.cs:423-457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8"/>
        <w:gridCol w:w="2259"/>
        <w:gridCol w:w="1704"/>
        <w:gridCol w:w="3700"/>
      </w:tblGrid>
      <w:tr>
        <w:trPr>
          <w:tblHeader/>
          <w:cantSplit/>
        </w:trPr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abertura do estudo (envia produto, lote, entrada, tipos); o CQ lê o lote, o almoxarifado de estabilidade e a unidade do lote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CQ (entrada) e serviços do Estoque (consultas)</w:t>
            </w:r>
          </w:p>
        </w:tc>
        <w:tc>
          <w:tcPr>
            <w:tcW w:w="3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Api/AcompanhamentoEstabilidadeController.cs:80-187; AcompanhamentoController.cs:400-410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cria e altera; papel de estabilidade (ver a seção de segurança)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de login e serviço de usuários</w:t>
            </w:r>
          </w:p>
        </w:tc>
        <w:tc>
          <w:tcPr>
            <w:tcW w:w="3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AcompanhamentoController.cs:517-531</w:t>
            </w:r>
          </w:p>
        </w:tc>
      </w:tr>
      <w:tr>
        <w:trPr>
          <w:cantSplit/>
        </w:trPr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</w:t>
            </w:r>
          </w:p>
        </w:tc>
        <w:tc>
          <w:tcPr>
            <w:tcW w:w="2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lido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Acompanhamento Estabilidade: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Acompanhamento Estabilidade: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