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Fora do menu: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seção </w:t>
      </w:r>
      <w:r>
        <w:rPr>
          <w:b/>
          <w:bCs/>
          <w:szCs w:val="20"/>
        </w:rPr>
        <w:t xml:space="preserve">Fora do menu</w:t>
      </w:r>
      <w:r>
        <w:rPr>
          <w:szCs w:val="20"/>
        </w:rPr>
        <w:t xml:space="preserve"> reúne as telas do Controle da Qualidade que existem no código mas não têm item próprio no menu: duas que não abrem e três protótipos de avaliação de fornecedor. Esta seção descreve </w:t>
      </w:r>
      <w:r>
        <w:rPr>
          <w:b/>
          <w:bCs/>
          <w:szCs w:val="20"/>
        </w:rPr>
        <w:t xml:space="preserve">cada uma das 2 telas com página própria como o sistema entregue as oferece</w:t>
      </w:r>
      <w:r>
        <w:rPr>
          <w:szCs w:val="20"/>
        </w:rPr>
        <w:t xml:space="preserve">, lidas do código e conferidas nas rodadas de teste de tela (legado).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(confirmada na tela)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 (a tela mostrou outra coisa). Situação da tela: Falha grave (defeito de gravidade Alta aberto na própria tela), Funciona com falhas (só Média ou Baixa), Funciona, Bloqueada no teste, Não abre, Protótipo.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5 TELAS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3"/>
        <w:gridCol w:w="2854"/>
        <w:gridCol w:w="1548"/>
        <w:gridCol w:w="4756"/>
      </w:tblGrid>
      <w:tr>
        <w:trPr>
          <w:tblHeader/>
          <w:cantSplit/>
        </w:trPr>
        <w:tc>
          <w:tcPr>
            <w:tcW w:w="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1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Coletas Pendentes de Programação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endereço: nenhuma ação devolve a página; nunca foi vista funcionando.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Amostragem (segunda versão)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antiga do cadastro; recusa todos os perfis, até o administrador.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Fornecedores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lógica: linha fixa de exemplo, não grava. Sem página própria, por decisão do responsável.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Desempenho da Qualidade dos Fornecedores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lógica: linha fixa de exemplo, não grava. Sem página própria, por decisão do responsável.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Avaliação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lógica: linha fixa de exemplo, não grava. Sem página própria, por decisão do responsável.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telas (inventário, rodada 2 em andamento em 28/10/2026):</w:t>
      </w:r>
      <w:r>
        <w:rPr>
          <w:szCs w:val="20"/>
        </w:rPr>
        <w:t xml:space="preserve"> Não abre: 2; Protótipo: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ainda falta testar:</w:t>
      </w:r>
      <w:r>
        <w:rPr>
          <w:szCs w:val="20"/>
        </w:rPr>
        <w:t xml:space="preserve"> abrir o endereço da consulta de coletas pendentes no ambiente (CT-CQ-F01-01) e clicar no segundo item "Verificação de Amostragens" do menu (CT-CQ-F02-01).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Acesso:</w:t>
      </w:r>
      <w:r>
        <w:rPr>
          <w:szCs w:val="20"/>
        </w:rPr>
        <w:t xml:space="preserve"> as regras de acesso de cada tela estão na seção "Segurança e acesso" da própria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Escolha a tela na barra lateral. Cada tela tem cinco páginas: </w:t>
      </w:r>
      <w:r>
        <w:rPr>
          <w:b/>
          <w:bCs/>
          <w:szCs w:val="20"/>
        </w:rPr>
        <w:t xml:space="preserve">Análise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Manual do usuário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Fluxos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Anvisa</w:t>
      </w:r>
      <w:r>
        <w:rPr>
          <w:szCs w:val="20"/>
        </w:rPr>
        <w:t xml:space="preserve">, cada uma com o Word para baixar; e os botões </w:t>
      </w:r>
      <w:r>
        <w:rPr>
          <w:b/>
          <w:bCs/>
          <w:szCs w:val="20"/>
        </w:rPr>
        <w:t xml:space="preserve">Passo a passo</w:t>
      </w:r>
      <w:r>
        <w:rPr>
          <w:szCs w:val="20"/>
        </w:rPr>
        <w:t xml:space="preserve"> (o roteiro de execução) e </w:t>
      </w:r>
      <w:r>
        <w:rPr>
          <w:b/>
          <w:bCs/>
          <w:szCs w:val="20"/>
        </w:rPr>
        <w:t xml:space="preserve">Ideal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Fora do menu: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Fora do menu: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