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60"/>
      </w:pPr>
      <w:r>
        <w:rPr>
          <w:b/>
          <w:bCs/>
          <w:sz w:val="32"/>
          <w:szCs w:val="32"/>
        </w:rPr>
        <w:t xml:space="preserve">Mapa do Processo Fabril</w:t>
      </w:r>
    </w:p>
    <w:p>
      <w:pPr>
        <w:pBdr>
          <w:bottom w:val="single" w:sz="8" w:space="4" w:color="808080"/>
        </w:pBdr>
        <w:spacing w:before="0" w:after="160"/>
      </w:pPr>
      <w:r>
        <w:rPr>
          <w:color w:val="595959"/>
          <w:szCs w:val="20"/>
        </w:rPr>
        <w:t xml:space="preserve">LabMedSys · Visão entre módulos · 07/10/2026 · André Nardacci · documento versão 1.0</w:t>
      </w:r>
    </w:p>
    <w:p>
      <w:pPr>
        <w:spacing w:after="0" w:line="252" w:lineRule="auto"/>
        <w:rPr>
          <w:szCs w:val="20"/>
        </w:rPr>
      </w:pPr>
      <w:r>
        <w:rPr>
          <w:b/>
          <w:bCs/>
          <w:szCs w:val="20"/>
        </w:rPr>
        <w:t xml:space="preserve">Uso interno.</w:t>
      </w:r>
      <w:r>
        <w:rPr>
          <w:szCs w:val="20"/>
        </w:rPr>
        <w:t xml:space="preserve"> Visão de ponta a ponta de como o LabMedSys (legado) acompanha a fabricação de um medicamento, montada a partir do código dos nove módulos em 07/10/2026. Mostra quais fluxos já estão documentados, quais faltam e onde a corrente está quebrada. Nada aqui foi testado nas telas: o que vem do código está marcado como tal, e o que é inferência, como "a validar".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20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 CORRENTE DO PROCESSO</w:t>
      </w:r>
    </w:p>
    <w:p>
      <w:pPr>
        <w:keepNext/>
        <w:spacing w:after="0" w:line="252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91"/>
        <w:gridCol w:w="2628"/>
        <w:gridCol w:w="3712"/>
        <w:gridCol w:w="2800"/>
      </w:tblGrid>
      <w:tr>
        <w:trPr>
          <w:tblHeader/>
          <w:cantSplit/>
        </w:trPr>
        <w:tc>
          <w:tcPr>
            <w:tcW w:w="4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26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37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 (telas principais)</w:t>
            </w:r>
          </w:p>
        </w:tc>
        <w:tc>
          <w:tcPr>
            <w:tcW w:w="28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Fluxo documentado?</w:t>
            </w:r>
          </w:p>
        </w:tc>
      </w:tr>
      <w:tr>
        <w:trPr>
          <w:cantSplit/>
        </w:trPr>
        <w:tc>
          <w:tcPr>
            <w:tcW w:w="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2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Qualificação do fornecedor</w:t>
            </w:r>
          </w:p>
        </w:tc>
        <w:tc>
          <w:tcPr>
            <w:tcW w:w="3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(</w:t>
            </w:r>
            <w:r>
              <w:rPr>
                <w:sz w:val="18"/>
                <w:szCs w:val="20"/>
              </w:rPr>
              <w:t xml:space="preserve">qualificacao_fornecedor</w:t>
            </w:r>
            <w:r>
              <w:rPr>
                <w:sz w:val="18"/>
                <w:szCs w:val="20"/>
              </w:rPr>
              <w:t xml:space="preserve">), Controle da Qualidade (Avaliação de fornecedor), Garantia da Qualidade (só protótipo)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2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</w:t>
            </w:r>
          </w:p>
        </w:tc>
        <w:tc>
          <w:tcPr>
            <w:tcW w:w="3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(curva ABC, pedido de compra); Comercial (cotação, requisição)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2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Portaria, recebimento e conferência da nota</w:t>
            </w:r>
          </w:p>
        </w:tc>
        <w:tc>
          <w:tcPr>
            <w:tcW w:w="3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(portaria, recebimento, conferência, pesagem)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Sim:</w:t>
            </w:r>
            <w:r>
              <w:rPr>
                <w:sz w:val="18"/>
                <w:szCs w:val="20"/>
              </w:rPr>
              <w:t xml:space="preserve"> Recebimento de materiais</w:t>
            </w:r>
          </w:p>
        </w:tc>
      </w:tr>
      <w:tr>
        <w:trPr>
          <w:cantSplit/>
        </w:trPr>
        <w:tc>
          <w:tcPr>
            <w:tcW w:w="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2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Quarentena, amostragem, análise, laudo e liberação do material</w:t>
            </w:r>
          </w:p>
        </w:tc>
        <w:tc>
          <w:tcPr>
            <w:tcW w:w="3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e Controle da Qualidade (solicitação de análise, amostragem, programação, laudo)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Sim:</w:t>
            </w:r>
            <w:r>
              <w:rPr>
                <w:sz w:val="18"/>
                <w:szCs w:val="20"/>
              </w:rPr>
              <w:t xml:space="preserve"> Estoque quarentena</w:t>
            </w:r>
          </w:p>
        </w:tc>
      </w:tr>
      <w:tr>
        <w:trPr>
          <w:cantSplit/>
        </w:trPr>
        <w:tc>
          <w:tcPr>
            <w:tcW w:w="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2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Material reprovado, reanálise e revalidação</w:t>
            </w:r>
          </w:p>
        </w:tc>
        <w:tc>
          <w:tcPr>
            <w:tcW w:w="3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(movimentação de reprovado, agenda de reanálise, revalidação)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2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Preparação da área: limpeza, calibração, manutenção, qualificação, análise de ambiente e de água</w:t>
            </w:r>
          </w:p>
        </w:tc>
        <w:tc>
          <w:tcPr>
            <w:tcW w:w="3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 (</w:t>
            </w:r>
            <w:r>
              <w:rPr>
                <w:sz w:val="18"/>
                <w:szCs w:val="20"/>
              </w:rPr>
              <w:t xml:space="preserve">preparacao</w:t>
            </w:r>
            <w:r>
              <w:rPr>
                <w:sz w:val="18"/>
                <w:szCs w:val="20"/>
              </w:rPr>
              <w:t xml:space="preserve">, 20 telas)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2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Autorização para produzir: ambiente, equipamentos, instrumentos, ponto de água, estoque, Controle da Qualidade e ficha técnica</w:t>
            </w:r>
          </w:p>
        </w:tc>
        <w:tc>
          <w:tcPr>
            <w:tcW w:w="3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 (</w:t>
            </w:r>
            <w:r>
              <w:rPr>
                <w:sz w:val="18"/>
                <w:szCs w:val="20"/>
              </w:rPr>
              <w:t xml:space="preserve">autorizacoes</w:t>
            </w:r>
            <w:r>
              <w:rPr>
                <w:sz w:val="18"/>
                <w:szCs w:val="20"/>
              </w:rPr>
              <w:t xml:space="preserve">, 7 telas)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2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Solicitação, separação e pesagem do material para a produção</w:t>
            </w:r>
          </w:p>
        </w:tc>
        <w:tc>
          <w:tcPr>
            <w:tcW w:w="3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(solicitação, separação, atendimento, pesagem)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Não:</w:t>
            </w:r>
            <w:r>
              <w:rPr>
                <w:sz w:val="18"/>
                <w:szCs w:val="20"/>
              </w:rPr>
              <w:t xml:space="preserve"> o arquivo "Solicitação e liberação da Produção" é uma cópia do Recebimento</w:t>
            </w:r>
          </w:p>
        </w:tc>
      </w:tr>
      <w:tr>
        <w:trPr>
          <w:cantSplit/>
        </w:trPr>
        <w:tc>
          <w:tcPr>
            <w:tcW w:w="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2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Fabricação: geração do lote, etapas, controle em processo, registro, reconciliação e final da produção</w:t>
            </w:r>
          </w:p>
        </w:tc>
        <w:tc>
          <w:tcPr>
            <w:tcW w:w="3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 (</w:t>
            </w:r>
            <w:r>
              <w:rPr>
                <w:sz w:val="18"/>
                <w:szCs w:val="20"/>
              </w:rPr>
              <w:t xml:space="preserve">producao</w:t>
            </w:r>
            <w:r>
              <w:rPr>
                <w:sz w:val="18"/>
                <w:szCs w:val="20"/>
              </w:rPr>
              <w:t xml:space="preserve">) e OPE (registro eletrônico de lote em XML)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2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sobra de material</w:t>
            </w:r>
          </w:p>
        </w:tc>
        <w:tc>
          <w:tcPr>
            <w:tcW w:w="3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(devolução da produção)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  <w:tc>
          <w:tcPr>
            <w:tcW w:w="2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 e quarentena</w:t>
            </w:r>
          </w:p>
        </w:tc>
        <w:tc>
          <w:tcPr>
            <w:tcW w:w="3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(entrada de produção) e Controle da Qualidade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parte (o fluxo de quarentena trata produto acabado)</w:t>
            </w:r>
          </w:p>
        </w:tc>
      </w:tr>
      <w:tr>
        <w:trPr>
          <w:cantSplit/>
        </w:trPr>
        <w:tc>
          <w:tcPr>
            <w:tcW w:w="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2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Liberação do lote para venda</w:t>
            </w:r>
          </w:p>
        </w:tc>
        <w:tc>
          <w:tcPr>
            <w:tcW w:w="3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(laudo final); Produção (liberação da produção)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  <w:tc>
          <w:tcPr>
            <w:tcW w:w="2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Rastreabilidade: código único do medicamento (IUM), agregação e eventos</w:t>
            </w:r>
          </w:p>
        </w:tc>
        <w:tc>
          <w:tcPr>
            <w:tcW w:w="3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parte (</w:t>
            </w:r>
            <w:r>
              <w:rPr>
                <w:sz w:val="18"/>
                <w:szCs w:val="20"/>
              </w:rPr>
              <w:t xml:space="preserve">Documentação/processo de transmissão do IUM</w:t>
            </w:r>
            <w:r>
              <w:rPr>
                <w:sz w:val="18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w="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  <w:tc>
          <w:tcPr>
            <w:tcW w:w="2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Venda, faturamento e expedição</w:t>
            </w:r>
          </w:p>
        </w:tc>
        <w:tc>
          <w:tcPr>
            <w:tcW w:w="3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Comercial (cotação, fatura, nota fiscal); Estoque (remessa)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</w:t>
            </w:r>
          </w:p>
        </w:tc>
        <w:tc>
          <w:tcPr>
            <w:tcW w:w="2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Reclamação de cliente e recolhimento do mercado</w:t>
            </w:r>
          </w:p>
        </w:tc>
        <w:tc>
          <w:tcPr>
            <w:tcW w:w="3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existe no sistema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252" w:lineRule="auto"/>
      </w:pPr>
    </w:p>
    <w:p>
      <w:pPr>
        <w:spacing w:after="0" w:line="252" w:lineRule="auto"/>
        <w:rPr>
          <w:szCs w:val="20"/>
        </w:rPr>
      </w:pPr>
      <w:r>
        <w:rPr>
          <w:b/>
          <w:bCs/>
          <w:szCs w:val="20"/>
        </w:rPr>
        <w:t xml:space="preserve">Apoio a todas as etapas:</w:t>
      </w:r>
      <w:r>
        <w:rPr>
          <w:szCs w:val="20"/>
        </w:rPr>
        <w:t xml:space="preserve"> Principal (usuários, perfis e cadastros gerais), Controle de Documentos (procedimentos, aprovação, cópias e obsolescência), Garantia da Qualidade (desvios e CAPA, controle de mudanças, autoinspeção e treinamento) e Estoque (inventário e kits).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20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ONDE A CORRENTE ESTÁ QUEBRADA</w:t>
      </w:r>
    </w:p>
    <w:p>
      <w:pPr>
        <w:keepNext/>
        <w:spacing w:after="0" w:line="252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73"/>
        <w:gridCol w:w="4282"/>
        <w:gridCol w:w="2213"/>
        <w:gridCol w:w="1263"/>
      </w:tblGrid>
      <w:tr>
        <w:trPr>
          <w:tblHeader/>
          <w:cantSplit/>
        </w:trPr>
        <w:tc>
          <w:tcPr>
            <w:tcW w:w="18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Ponto</w:t>
            </w:r>
          </w:p>
        </w:tc>
        <w:tc>
          <w:tcPr>
            <w:tcW w:w="42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mostra</w:t>
            </w:r>
          </w:p>
        </w:tc>
        <w:tc>
          <w:tcPr>
            <w:tcW w:w="22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 da ANVISA (RDC 658/2022)</w:t>
            </w:r>
          </w:p>
        </w:tc>
        <w:tc>
          <w:tcPr>
            <w:tcW w:w="12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</w:tr>
      <w:tr>
        <w:trPr>
          <w:cantSplit/>
        </w:trPr>
        <w:tc>
          <w:tcPr>
            <w:tcW w:w="1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Fornecedor aprovado × recebimento</w:t>
            </w:r>
          </w:p>
        </w:tc>
        <w:tc>
          <w:tcPr>
            <w:tcW w:w="4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qualificação de fornecedor só é usada na própria tela; o recebimento não a consulta. Há qualificação em três módulos diferentes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Verificar cada recebimento contra o fornecedor aprovado (art. 8º, VI)</w:t>
            </w:r>
          </w:p>
        </w:tc>
        <w:tc>
          <w:tcPr>
            <w:tcW w:w="1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× lote</w:t>
            </w:r>
          </w:p>
        </w:tc>
        <w:tc>
          <w:tcPr>
            <w:tcW w:w="4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desvio registrado na Garantia da Qualidade não bloqueia o lote no Estoque; o número do lote é só digitado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Considerar os desvios na liberação do lote (art. 8º, IX)</w:t>
            </w:r>
          </w:p>
        </w:tc>
        <w:tc>
          <w:tcPr>
            <w:tcW w:w="1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Liberação do lote para venda</w:t>
            </w:r>
          </w:p>
        </w:tc>
        <w:tc>
          <w:tcPr>
            <w:tcW w:w="4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 em dois módulos (laudo final no CQ e "Liberação da produção" na Produção); falta confirmar quem libera e se é a pessoa designada. </w:t>
            </w:r>
            <w:r>
              <w:rPr>
                <w:sz w:val="18"/>
                <w:i/>
                <w:iCs/>
                <w:szCs w:val="20"/>
              </w:rPr>
              <w:t xml:space="preserve">A validar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só vai para o mercado depois da certificação pela pessoa designada (art. 8º, XV)</w:t>
            </w:r>
          </w:p>
        </w:tc>
        <w:tc>
          <w:tcPr>
            <w:tcW w:w="1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liberação de material pelo CQ</w:t>
            </w:r>
          </w:p>
        </w:tc>
        <w:tc>
          <w:tcPr>
            <w:tcW w:w="4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vazia, sem lógica (</w:t>
            </w:r>
            <w:r>
              <w:rPr>
                <w:sz w:val="18"/>
                <w:szCs w:val="20"/>
              </w:rPr>
              <w:t xml:space="preserve">estoque/liberacao_cq_rel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Registros da liberação</w:t>
            </w:r>
          </w:p>
        </w:tc>
        <w:tc>
          <w:tcPr>
            <w:tcW w:w="1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</w:tr>
      <w:tr>
        <w:trPr>
          <w:cantSplit/>
        </w:trPr>
        <w:tc>
          <w:tcPr>
            <w:tcW w:w="1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Usuários e perfis</w:t>
            </w:r>
          </w:p>
        </w:tc>
        <w:tc>
          <w:tcPr>
            <w:tcW w:w="4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tem cópias das telas do Principal que gravam nas mesmas tabelas, com regras e histórico diferentes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Trilha de auditoria (art. 125) e controle de acesso</w:t>
            </w:r>
          </w:p>
        </w:tc>
        <w:tc>
          <w:tcPr>
            <w:tcW w:w="1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Reclamação e recolhimento</w:t>
            </w:r>
          </w:p>
        </w:tc>
        <w:tc>
          <w:tcPr>
            <w:tcW w:w="4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fluxo; a reclamação só aparece como origem "SAC" de um desvio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Capítulo IX inteiro (art. 318 a 360)</w:t>
            </w:r>
          </w:p>
        </w:tc>
        <w:tc>
          <w:tcPr>
            <w:tcW w:w="1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Revisão periódica do produto</w:t>
            </w:r>
          </w:p>
        </w:tc>
        <w:tc>
          <w:tcPr>
            <w:tcW w:w="4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protótipo na Garantia da Qualidade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15 a 19</w:t>
            </w:r>
          </w:p>
        </w:tc>
        <w:tc>
          <w:tcPr>
            <w:tcW w:w="1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</w:tr>
    </w:tbl>
    <w:p>
      <w:pPr>
        <w:spacing w:after="0" w:line="252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20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FLUXOS A MONTAR (PROPOSTA DE ORDEM)</w:t>
      </w:r>
    </w:p>
    <w:p>
      <w:pPr>
        <w:keepNext/>
        <w:spacing w:after="0" w:line="252" w:lineRule="auto"/>
      </w:pPr>
    </w:p>
    <w:p>
      <w:pPr>
        <w:numPr>
          <w:ilvl w:val="0"/>
          <w:numId w:val="2"/>
        </w:numPr>
        <w:spacing w:after="0" w:line="252" w:lineRule="auto"/>
        <w:rPr>
          <w:szCs w:val="20"/>
        </w:rPr>
      </w:pPr>
      <w:r>
        <w:rPr>
          <w:b/>
          <w:bCs/>
          <w:szCs w:val="20"/>
        </w:rPr>
        <w:t xml:space="preserve">1. Solicitação, separação e atendimento à produção</w:t>
      </w:r>
      <w:r>
        <w:rPr>
          <w:szCs w:val="20"/>
        </w:rPr>
        <w:t xml:space="preserve"> (etapa 8): falta para fechar o ciclo que começa no recebimento.</w:t>
      </w:r>
    </w:p>
    <w:p>
      <w:pPr>
        <w:numPr>
          <w:ilvl w:val="0"/>
          <w:numId w:val="2"/>
        </w:numPr>
        <w:spacing w:after="0" w:line="252" w:lineRule="auto"/>
        <w:rPr>
          <w:szCs w:val="20"/>
        </w:rPr>
      </w:pPr>
      <w:r>
        <w:rPr>
          <w:b/>
          <w:bCs/>
          <w:szCs w:val="20"/>
        </w:rPr>
        <w:t xml:space="preserve">2. Autorização e fabricação</w:t>
      </w:r>
      <w:r>
        <w:rPr>
          <w:szCs w:val="20"/>
        </w:rPr>
        <w:t xml:space="preserve"> (etapas 7 e 9): o coração da produção.</w:t>
      </w:r>
    </w:p>
    <w:p>
      <w:pPr>
        <w:numPr>
          <w:ilvl w:val="0"/>
          <w:numId w:val="2"/>
        </w:numPr>
        <w:spacing w:after="0" w:line="252" w:lineRule="auto"/>
        <w:rPr>
          <w:szCs w:val="20"/>
        </w:rPr>
      </w:pPr>
      <w:r>
        <w:rPr>
          <w:b/>
          <w:bCs/>
          <w:szCs w:val="20"/>
        </w:rPr>
        <w:t xml:space="preserve">3. Liberação do lote para venda</w:t>
      </w:r>
      <w:r>
        <w:rPr>
          <w:szCs w:val="20"/>
        </w:rPr>
        <w:t xml:space="preserve"> (etapa 12): define quem libera; ponto crítico para a ANVISA.</w:t>
      </w:r>
    </w:p>
    <w:p>
      <w:pPr>
        <w:numPr>
          <w:ilvl w:val="0"/>
          <w:numId w:val="2"/>
        </w:numPr>
        <w:spacing w:after="0" w:line="252" w:lineRule="auto"/>
        <w:rPr>
          <w:szCs w:val="20"/>
        </w:rPr>
      </w:pPr>
      <w:r>
        <w:rPr>
          <w:b/>
          <w:bCs/>
          <w:szCs w:val="20"/>
        </w:rPr>
        <w:t xml:space="preserve">4. Reprovado, reanálise e revalidação</w:t>
      </w:r>
      <w:r>
        <w:rPr>
          <w:szCs w:val="20"/>
        </w:rPr>
        <w:t xml:space="preserve"> (etapa 5).</w:t>
      </w:r>
    </w:p>
    <w:p>
      <w:pPr>
        <w:numPr>
          <w:ilvl w:val="0"/>
          <w:numId w:val="2"/>
        </w:numPr>
        <w:spacing w:after="0" w:line="252" w:lineRule="auto"/>
        <w:rPr>
          <w:szCs w:val="20"/>
        </w:rPr>
      </w:pPr>
      <w:r>
        <w:rPr>
          <w:b/>
          <w:bCs/>
          <w:szCs w:val="20"/>
        </w:rPr>
        <w:t xml:space="preserve">5. Preparação da área</w:t>
      </w:r>
      <w:r>
        <w:rPr>
          <w:szCs w:val="20"/>
        </w:rPr>
        <w:t xml:space="preserve"> (etapa 6).</w:t>
      </w:r>
    </w:p>
    <w:p>
      <w:pPr>
        <w:numPr>
          <w:ilvl w:val="0"/>
          <w:numId w:val="2"/>
        </w:numPr>
        <w:spacing w:after="0" w:line="252" w:lineRule="auto"/>
        <w:rPr>
          <w:szCs w:val="20"/>
        </w:rPr>
      </w:pPr>
      <w:r>
        <w:rPr>
          <w:b/>
          <w:bCs/>
          <w:szCs w:val="20"/>
        </w:rPr>
        <w:t xml:space="preserve">6. Fornecedor e compra</w:t>
      </w:r>
      <w:r>
        <w:rPr>
          <w:szCs w:val="20"/>
        </w:rPr>
        <w:t xml:space="preserve"> (etapas 1 e 2).</w:t>
      </w:r>
    </w:p>
    <w:p>
      <w:pPr>
        <w:numPr>
          <w:ilvl w:val="0"/>
          <w:numId w:val="2"/>
        </w:numPr>
        <w:spacing w:after="0" w:line="252" w:lineRule="auto"/>
        <w:rPr>
          <w:szCs w:val="20"/>
        </w:rPr>
      </w:pPr>
      <w:r>
        <w:rPr>
          <w:b/>
          <w:bCs/>
          <w:szCs w:val="20"/>
        </w:rPr>
        <w:t xml:space="preserve">7. Rastreabilidade e expedição</w:t>
      </w:r>
      <w:r>
        <w:rPr>
          <w:szCs w:val="20"/>
        </w:rPr>
        <w:t xml:space="preserve"> (etapas 13 e 14).</w:t>
      </w:r>
    </w:p>
    <w:p>
      <w:pPr>
        <w:spacing w:after="0" w:line="252" w:lineRule="auto"/>
        <w:rPr>
          <w:szCs w:val="20"/>
        </w:rPr>
      </w:pPr>
      <w:r>
        <w:rPr>
          <w:szCs w:val="20"/>
        </w:rPr>
        <w:t xml:space="preserve">Cada fluxo segue o formato dos fluxos já feitos pela equipe: objetivo, escopo, visão geral e, por etapa, descrição, regras de negócio e telas do sistema. As partes que o código não mostra (atividades manuais e decisões da área) ficam marcadas para validar com a área.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Visão entre módulos – Mapa do Processo Fabril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Principal – Mapa do Processo Fabril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