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Estoque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Subgrupo do Item: Regras de negócio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23/10/2026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Rascunho: legado, a partir do código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REGRAS DE NEGÓCIO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As regras de acesso estão na seção de segurança. Ids RN-EST-nnn vêm de </w:t>
      </w:r>
      <w:r>
        <w:rPr>
          <w:szCs w:val="20"/>
        </w:rPr>
        <w:t xml:space="preserve">entregaveis/fonte/regras-de-negocio.md</w:t>
      </w:r>
      <w:r>
        <w:rPr>
          <w:szCs w:val="20"/>
        </w:rPr>
        <w:t xml:space="preserve">; RN-EST-CAD02-nnn são novas, desta página. A situação de cada regra vem dos testes citados.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967"/>
        <w:gridCol w:w="2177"/>
        <w:gridCol w:w="3402"/>
        <w:gridCol w:w="2085"/>
      </w:tblGrid>
      <w:tr>
        <w:trPr>
          <w:tblHeader/>
          <w:cantSplit/>
        </w:trPr>
        <w:tc>
          <w:tcPr>
            <w:tcW w:w="196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ID</w:t>
            </w:r>
          </w:p>
        </w:tc>
        <w:tc>
          <w:tcPr>
            <w:tcW w:w="217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Regra</w:t>
            </w:r>
          </w:p>
        </w:tc>
        <w:tc>
          <w:tcPr>
            <w:tcW w:w="340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  <w:tc>
          <w:tcPr>
            <w:tcW w:w="208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Situação</w:t>
            </w:r>
          </w:p>
        </w:tc>
      </w:tr>
      <w:tr>
        <w:trPr>
          <w:cantSplit/>
        </w:trPr>
        <w:tc>
          <w:tcPr>
            <w:tcW w:w="19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RN-EST-017</w:t>
            </w:r>
          </w:p>
        </w:tc>
        <w:tc>
          <w:tcPr>
            <w:tcW w:w="21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Grupo e Subgrupo de item: descrição e situação obrigatórias; o subgrupo exige o grupo; o subgrupo é usado por Item, Local de Armazenagem e Inventário.</w:t>
            </w:r>
          </w:p>
        </w:tc>
        <w:tc>
          <w:tcPr>
            <w:tcW w:w="340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item_subgrupo_ed.aspx:79; TBL_ITEM.sql:90; TBL_STQ_LOCAL.sql:31</w:t>
            </w:r>
          </w:p>
        </w:tc>
        <w:tc>
          <w:tcPr>
            <w:tcW w:w="20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 em parte: CT-EST-011, 22/10/2026 (subgrupo sem grupo recusado com "O Grupo do Item é obrigatório"). O uso em Item, Local e Inventário não foi exercitado por esta tela</w:t>
            </w:r>
          </w:p>
        </w:tc>
      </w:tr>
      <w:tr>
        <w:trPr>
          <w:cantSplit/>
        </w:trPr>
        <w:tc>
          <w:tcPr>
            <w:tcW w:w="19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RN-EST-008</w:t>
            </w:r>
          </w:p>
        </w:tc>
        <w:tc>
          <w:tcPr>
            <w:tcW w:w="21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Alteração e exclusão exigem justificativa e ficam no histórico (aqui, também a inclusão grava histórico).</w:t>
            </w:r>
          </w:p>
        </w:tc>
        <w:tc>
          <w:tcPr>
            <w:tcW w:w="340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item_subgrupo_ed.aspx.cs:133; item_subgrupo_lst.aspx.cs:253</w:t>
            </w:r>
          </w:p>
        </w:tc>
        <w:tc>
          <w:tcPr>
            <w:tcW w:w="20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 em parte: CT-EST-004, 005 e 007, 22/10/2026, foram feitos em Condição de Armazenagem, que usa a mesma base de páginas; nesta tela não foi feito</w:t>
            </w:r>
          </w:p>
        </w:tc>
      </w:tr>
      <w:tr>
        <w:trPr>
          <w:cantSplit/>
        </w:trPr>
        <w:tc>
          <w:tcPr>
            <w:tcW w:w="19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RN-EST-CAD02-001</w:t>
            </w:r>
          </w:p>
        </w:tc>
        <w:tc>
          <w:tcPr>
            <w:tcW w:w="21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código é opcional. Em branco, o sistema pede ao banco o próximo número de 5 dígitos e só o usa se ainda não existir. O código é único entre </w:t>
            </w:r>
            <w:r>
              <w:rPr>
                <w:sz w:val="18"/>
                <w:b/>
                <w:bCs/>
                <w:szCs w:val="20"/>
              </w:rPr>
              <w:t xml:space="preserve">todos</w:t>
            </w:r>
            <w:r>
              <w:rPr>
                <w:sz w:val="18"/>
                <w:szCs w:val="20"/>
              </w:rPr>
              <w:t xml:space="preserve"> os subgrupos da empresa (não só dentro do grupo).</w:t>
            </w:r>
          </w:p>
        </w:tc>
        <w:tc>
          <w:tcPr>
            <w:tcW w:w="340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bllItemSubGrupo.cs:21; dalItemSubGrupo.cs:305-339</w:t>
            </w:r>
          </w:p>
        </w:tc>
        <w:tc>
          <w:tcPr>
            <w:tcW w:w="20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 em parte: o subgrupo de 07/10/2026 nasceu com código 00001, compatível com a geração automática (não ficou anotado se o código foi digitado); código repetido não foi testado aqui</w:t>
            </w:r>
          </w:p>
        </w:tc>
      </w:tr>
      <w:tr>
        <w:trPr>
          <w:cantSplit/>
        </w:trPr>
        <w:tc>
          <w:tcPr>
            <w:tcW w:w="19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RN-EST-CAD02-002</w:t>
            </w:r>
          </w:p>
        </w:tc>
        <w:tc>
          <w:tcPr>
            <w:tcW w:w="21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grupo é obrigatório e só se escolhe entre grupos </w:t>
            </w:r>
            <w:r>
              <w:rPr>
                <w:sz w:val="18"/>
                <w:b/>
                <w:bCs/>
                <w:szCs w:val="20"/>
              </w:rPr>
              <w:t xml:space="preserve">ativos</w:t>
            </w:r>
            <w:r>
              <w:rPr>
                <w:sz w:val="18"/>
                <w:szCs w:val="20"/>
              </w:rPr>
              <w:t xml:space="preserve">.</w:t>
            </w:r>
          </w:p>
        </w:tc>
        <w:tc>
          <w:tcPr>
            <w:tcW w:w="340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item_subgrupo_ed.aspx:79; item_subgrupo_ed.aspx.cs:37</w:t>
            </w:r>
          </w:p>
        </w:tc>
        <w:tc>
          <w:tcPr>
            <w:tcW w:w="20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Validada: CT-EST-011, 22/10/2026 ("O Grupo do Item é obrigatório")</w:t>
            </w:r>
          </w:p>
        </w:tc>
      </w:tr>
      <w:tr>
        <w:trPr>
          <w:cantSplit/>
        </w:trPr>
        <w:tc>
          <w:tcPr>
            <w:tcW w:w="19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RN-EST-CAD02-003</w:t>
            </w:r>
          </w:p>
        </w:tc>
        <w:tc>
          <w:tcPr>
            <w:tcW w:w="21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descrição é obrigatória, tem até 40 caracteres, é gravada em maiúsculas e sem espaços repetidos. Descrição repetida </w:t>
            </w:r>
            <w:r>
              <w:rPr>
                <w:sz w:val="18"/>
                <w:b/>
                <w:bCs/>
                <w:szCs w:val="20"/>
              </w:rPr>
              <w:t xml:space="preserve">não</w:t>
            </w:r>
            <w:r>
              <w:rPr>
                <w:sz w:val="18"/>
                <w:szCs w:val="20"/>
              </w:rPr>
              <w:t xml:space="preserve"> é barrada.</w:t>
            </w:r>
          </w:p>
        </w:tc>
        <w:tc>
          <w:tcPr>
            <w:tcW w:w="340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item_subgrupo_ed.aspx:63; item_subgrupo_ed.aspx.cs:148; dalItemSubGrupo.cs:305</w:t>
            </w:r>
          </w:p>
        </w:tc>
        <w:tc>
          <w:tcPr>
            <w:tcW w:w="20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 (a descrição repetida foi aceita em Condição de Armazenagem, CT-EST-003, 22/10/2026)</w:t>
            </w:r>
          </w:p>
        </w:tc>
      </w:tr>
      <w:tr>
        <w:trPr>
          <w:cantSplit/>
        </w:trPr>
        <w:tc>
          <w:tcPr>
            <w:tcW w:w="19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RN-EST-CAD02-004</w:t>
            </w:r>
          </w:p>
        </w:tc>
        <w:tc>
          <w:tcPr>
            <w:tcW w:w="21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justificativa é obrigatória na alteração e na exclusão, vai só para o histórico; a tabela do subgrupo não guarda a justificativa.</w:t>
            </w:r>
          </w:p>
        </w:tc>
        <w:tc>
          <w:tcPr>
            <w:tcW w:w="340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item_subgrupo_ed.aspx.cs:141; dalItemSubGrupo.cs:49-54</w:t>
            </w:r>
          </w:p>
        </w:tc>
        <w:tc>
          <w:tcPr>
            <w:tcW w:w="20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 (o comportamento do histórico foi visto em Condição de Armazenagem)</w:t>
            </w:r>
          </w:p>
        </w:tc>
      </w:tr>
      <w:tr>
        <w:trPr>
          <w:cantSplit/>
        </w:trPr>
        <w:tc>
          <w:tcPr>
            <w:tcW w:w="19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RN-EST-CAD02-005</w:t>
            </w:r>
          </w:p>
        </w:tc>
        <w:tc>
          <w:tcPr>
            <w:tcW w:w="21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se inativa um subgrupo que tenha item não excluído ligado (ativo ou não): a tela recusa. O servidor não repete essa conferência.</w:t>
            </w:r>
          </w:p>
        </w:tc>
        <w:tc>
          <w:tcPr>
            <w:tcW w:w="340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item_subgrupo_ed.aspx.cs:188-190; dalItemSubGrupo.cs:365-369; bllItemSubGrupo.cs:78-88</w:t>
            </w:r>
          </w:p>
        </w:tc>
        <w:tc>
          <w:tcPr>
            <w:tcW w:w="20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 (nenhum teste inativou um subgrupo)</w:t>
            </w:r>
          </w:p>
        </w:tc>
      </w:tr>
      <w:tr>
        <w:trPr>
          <w:cantSplit/>
        </w:trPr>
        <w:tc>
          <w:tcPr>
            <w:tcW w:w="19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RN-EST-CAD02-006</w:t>
            </w:r>
          </w:p>
        </w:tc>
        <w:tc>
          <w:tcPr>
            <w:tcW w:w="21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se exclui um subgrupo apontado por outro registro (item, local, inventário, análise de estoque). O código tenta apagar de verdade dentro de uma transação, desfaz e vê se o banco recusou por chave estrangeira.</w:t>
            </w:r>
          </w:p>
        </w:tc>
        <w:tc>
          <w:tcPr>
            <w:tcW w:w="340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bllItemSubGrupo.cs:171; dalItemSubGrupo.cs:344-362; BD.cs:245-281</w:t>
            </w:r>
          </w:p>
        </w:tc>
        <w:tc>
          <w:tcPr>
            <w:tcW w:w="20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 (CT-EST-008 foi feito com o grupo, não com o subgrupo)</w:t>
            </w:r>
          </w:p>
        </w:tc>
      </w:tr>
      <w:tr>
        <w:trPr>
          <w:cantSplit/>
        </w:trPr>
        <w:tc>
          <w:tcPr>
            <w:tcW w:w="19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RN-EST-CAD02-007</w:t>
            </w:r>
          </w:p>
        </w:tc>
        <w:tc>
          <w:tcPr>
            <w:tcW w:w="21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Trocar o grupo do subgrupo é permitido na alteração (com o subgrupo ativo), sem aviso; o histórico guarda o nome do grupo antigo e do novo. Todos os itens do subgrupo passam a pertencer ao novo grupo, com o tipo de análise CQ e o tempo de armazenagem dele.</w:t>
            </w:r>
          </w:p>
        </w:tc>
        <w:tc>
          <w:tcPr>
            <w:tcW w:w="340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item_subgrupo_ed.aspx.cs:288-297; dalLogAlteracaoItemSubGrupo.cs:54; dalItemSubGrupo.cs:49-54</w:t>
            </w:r>
          </w:p>
        </w:tc>
        <w:tc>
          <w:tcPr>
            <w:tcW w:w="20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Extraída; ponto para validar com o teste CT-EST-CAD02-04</w:t>
            </w:r>
          </w:p>
        </w:tc>
      </w:tr>
      <w:tr>
        <w:trPr>
          <w:cantSplit/>
        </w:trPr>
        <w:tc>
          <w:tcPr>
            <w:tcW w:w="19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RN-EST-CAD02-008</w:t>
            </w:r>
          </w:p>
        </w:tc>
        <w:tc>
          <w:tcPr>
            <w:tcW w:w="21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Diferença Pesagem (%) é opcional (vazio vira 0), tem máscara de duas casas (os números entram da direita para a esquerda) e </w:t>
            </w:r>
            <w:r>
              <w:rPr>
                <w:sz w:val="18"/>
                <w:b/>
                <w:bCs/>
                <w:szCs w:val="20"/>
              </w:rPr>
              <w:t xml:space="preserve">não tem limite máximo conferido</w:t>
            </w:r>
            <w:r>
              <w:rPr>
                <w:sz w:val="18"/>
                <w:szCs w:val="20"/>
              </w:rPr>
              <w:t xml:space="preserve">. O Atendimento de OP e a Central de Pesagem a leem para calcular a diferença aceita.</w:t>
            </w:r>
          </w:p>
        </w:tc>
        <w:tc>
          <w:tcPr>
            <w:tcW w:w="340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item_subgrupo_ed.aspx.cs:153; LaboSys_UI/scripts/Mascara.js:48-108; atendimento_op.aspx.cs:518; pesagem_ed.aspx.cs:247</w:t>
            </w:r>
          </w:p>
        </w:tc>
        <w:tc>
          <w:tcPr>
            <w:tcW w:w="20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 (nenhum teste salvou o percentual nem o usou na pesagem)</w:t>
            </w:r>
          </w:p>
        </w:tc>
      </w:tr>
      <w:tr>
        <w:trPr>
          <w:cantSplit/>
        </w:trPr>
        <w:tc>
          <w:tcPr>
            <w:tcW w:w="19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RN-EST-CAD02-009</w:t>
            </w:r>
          </w:p>
        </w:tc>
        <w:tc>
          <w:tcPr>
            <w:tcW w:w="21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histórico de alteração guarda código, descrição, grupo e ativo. </w:t>
            </w:r>
            <w:r>
              <w:rPr>
                <w:sz w:val="18"/>
                <w:b/>
                <w:bCs/>
                <w:szCs w:val="20"/>
              </w:rPr>
              <w:t xml:space="preserve">A Diferença Pesagem (%) não é gravada no histórico</w:t>
            </w:r>
            <w:r>
              <w:rPr>
                <w:sz w:val="18"/>
                <w:szCs w:val="20"/>
              </w:rPr>
              <w:t xml:space="preserve"> quando muda.</w:t>
            </w:r>
          </w:p>
        </w:tc>
        <w:tc>
          <w:tcPr>
            <w:tcW w:w="340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dalLogAlteracaoItemSubGrupo.cs:12-78</w:t>
            </w:r>
          </w:p>
        </w:tc>
        <w:tc>
          <w:tcPr>
            <w:tcW w:w="20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Extraída; ponto para validar com o teste CT-EST-CAD02-05</w:t>
            </w:r>
          </w:p>
        </w:tc>
      </w:tr>
      <w:tr>
        <w:trPr>
          <w:cantSplit/>
        </w:trPr>
        <w:tc>
          <w:tcPr>
            <w:tcW w:w="19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RN-EST-CAD02-010</w:t>
            </w:r>
          </w:p>
        </w:tc>
        <w:tc>
          <w:tcPr>
            <w:tcW w:w="21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código fica travado na alteração; descrição, grupo e percentual só podem ser mudados com o subgrupo ativo.</w:t>
            </w:r>
          </w:p>
        </w:tc>
        <w:tc>
          <w:tcPr>
            <w:tcW w:w="340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item_subgrupo_ed.aspx.cs:61; item_subgrupo_ed.aspx.cs:288-297</w:t>
            </w:r>
          </w:p>
        </w:tc>
        <w:tc>
          <w:tcPr>
            <w:tcW w:w="20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</w:t>
            </w:r>
          </w:p>
        </w:tc>
      </w:tr>
      <w:tr>
        <w:trPr>
          <w:cantSplit/>
        </w:trPr>
        <w:tc>
          <w:tcPr>
            <w:tcW w:w="19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RN-EST-CAD02-011</w:t>
            </w:r>
          </w:p>
        </w:tc>
        <w:tc>
          <w:tcPr>
            <w:tcW w:w="21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exclusão é lógica: o registro fica no banco com a marca de excluído e some das listas.</w:t>
            </w:r>
          </w:p>
        </w:tc>
        <w:tc>
          <w:tcPr>
            <w:tcW w:w="340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dalItemSubGrupo.cs:83</w:t>
            </w:r>
          </w:p>
        </w:tc>
        <w:tc>
          <w:tcPr>
            <w:tcW w:w="20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 em parte: CT-EST-007, 22/10/2026, em Condição de Armazenagem</w:t>
            </w:r>
          </w:p>
        </w:tc>
      </w:tr>
    </w:tbl>
    <w:p>
      <w:pPr>
        <w:spacing w:after="0" w:line="360" w:lineRule="auto"/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CASOS DE TESTE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Resultados dos testes de tela de 07/10 e 22/10/2026 (</w:t>
      </w:r>
      <w:r>
        <w:rPr>
          <w:szCs w:val="20"/>
        </w:rPr>
        <w:t xml:space="preserve">execucao/*/resultado.md</w:t>
      </w:r>
      <w:r>
        <w:rPr>
          <w:szCs w:val="20"/>
        </w:rPr>
        <w:t xml:space="preserve">). O plano de testes é o </w:t>
      </w:r>
      <w:r>
        <w:rPr>
          <w:szCs w:val="20"/>
        </w:rPr>
        <w:t xml:space="preserve">08-plano-de-testes.md</w:t>
      </w:r>
      <w:r>
        <w:rPr>
          <w:szCs w:val="20"/>
        </w:rPr>
        <w:t xml:space="preserve">; os casos CT-EST-001 a 024 são </w:t>
      </w:r>
      <w:r>
        <w:rPr>
          <w:b/>
          <w:bCs/>
          <w:szCs w:val="20"/>
        </w:rPr>
        <w:t xml:space="preserve">gerais, para todos os cadastros de apoio</w:t>
      </w:r>
      <w:r>
        <w:rPr>
          <w:szCs w:val="20"/>
        </w:rPr>
        <w:t xml:space="preserve">, e cada rodada os executou em um ou dois cadastros, não em todos. Onde o caso foi feito em outro cadastro, a linha diz isso e </w:t>
      </w:r>
      <w:r>
        <w:rPr>
          <w:b/>
          <w:bCs/>
          <w:szCs w:val="20"/>
        </w:rPr>
        <w:t xml:space="preserve">não conta</w:t>
      </w:r>
      <w:r>
        <w:rPr>
          <w:szCs w:val="20"/>
        </w:rPr>
        <w:t xml:space="preserve"> como teste desta tela.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Casos do plano e das rodadas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484"/>
        <w:gridCol w:w="2493"/>
        <w:gridCol w:w="5654"/>
      </w:tblGrid>
      <w:tr>
        <w:trPr>
          <w:tblHeader/>
          <w:cantSplit/>
        </w:trPr>
        <w:tc>
          <w:tcPr>
            <w:tcW w:w="148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</w:t>
            </w:r>
          </w:p>
        </w:tc>
        <w:tc>
          <w:tcPr>
            <w:tcW w:w="249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verifica</w:t>
            </w:r>
          </w:p>
        </w:tc>
        <w:tc>
          <w:tcPr>
            <w:tcW w:w="565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Resultado, defeito e data</w:t>
            </w:r>
          </w:p>
        </w:tc>
      </w:tr>
      <w:tr>
        <w:trPr>
          <w:cantSplit/>
        </w:trPr>
        <w:tc>
          <w:tcPr>
            <w:tcW w:w="148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CT-EST-001</w:t>
            </w:r>
          </w:p>
        </w:tc>
        <w:tc>
          <w:tcPr>
            <w:tcW w:w="24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Incluir com todos os obrigatórios</w:t>
            </w:r>
          </w:p>
        </w:tc>
        <w:tc>
          <w:tcPr>
            <w:tcW w:w="56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Passou, 07/10/2026: </w:t>
            </w:r>
            <w:r>
              <w:rPr>
                <w:sz w:val="18"/>
                <w:szCs w:val="20"/>
              </w:rPr>
              <w:t xml:space="preserve">TESTE SUBGRUPO</w:t>
            </w:r>
            <w:r>
              <w:rPr>
                <w:sz w:val="18"/>
                <w:szCs w:val="20"/>
              </w:rPr>
              <w:t xml:space="preserve"> (código 00001, do grupo </w:t>
            </w:r>
            <w:r>
              <w:rPr>
                <w:sz w:val="18"/>
                <w:szCs w:val="20"/>
              </w:rPr>
              <w:t xml:space="preserve">TESTE GRUPO</w:t>
            </w:r>
            <w:r>
              <w:rPr>
                <w:sz w:val="18"/>
                <w:szCs w:val="20"/>
              </w:rPr>
              <w:t xml:space="preserve">) gravou e aparece na lista (captura PREP-item-subgrupo.png). Repetido em 22/10/2026 (rodada 8): </w:t>
            </w:r>
            <w:r>
              <w:rPr>
                <w:sz w:val="18"/>
                <w:szCs w:val="20"/>
              </w:rPr>
              <w:t xml:space="preserve">9812 TESTE SUBGRUPO R8</w:t>
            </w:r>
            <w:r>
              <w:rPr>
                <w:sz w:val="18"/>
                <w:szCs w:val="20"/>
              </w:rPr>
              <w:t xml:space="preserve">, do grupo </w:t>
            </w:r>
            <w:r>
              <w:rPr>
                <w:sz w:val="18"/>
                <w:szCs w:val="20"/>
              </w:rPr>
              <w:t xml:space="preserve">9811</w:t>
            </w:r>
          </w:p>
        </w:tc>
      </w:tr>
      <w:tr>
        <w:trPr>
          <w:cantSplit/>
        </w:trPr>
        <w:tc>
          <w:tcPr>
            <w:tcW w:w="148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CT-EST-002</w:t>
            </w:r>
          </w:p>
        </w:tc>
        <w:tc>
          <w:tcPr>
            <w:tcW w:w="24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Salvar sem cada obrigatório, um de cada vez</w:t>
            </w:r>
          </w:p>
        </w:tc>
        <w:tc>
          <w:tcPr>
            <w:tcW w:w="56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executado nesta tela, exceto o grupo (ver CT-EST-011). A rodada 8 (22/10/2026) testou os demais em Condição de Armazenagem; não vale para o Subgrupo</w:t>
            </w:r>
          </w:p>
        </w:tc>
      </w:tr>
      <w:tr>
        <w:trPr>
          <w:cantSplit/>
        </w:trPr>
        <w:tc>
          <w:tcPr>
            <w:tcW w:w="148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CT-EST-003</w:t>
            </w:r>
          </w:p>
        </w:tc>
        <w:tc>
          <w:tcPr>
            <w:tcW w:w="24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Segundo registro com o mesmo código e a mesma descrição</w:t>
            </w:r>
          </w:p>
        </w:tc>
        <w:tc>
          <w:tcPr>
            <w:tcW w:w="56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executado nesta tela. Em Condição de Armazenagem (22/10/2026): código repetido recusado; descrição repetida com outro código aceita</w:t>
            </w:r>
          </w:p>
        </w:tc>
      </w:tr>
      <w:tr>
        <w:trPr>
          <w:cantSplit/>
        </w:trPr>
        <w:tc>
          <w:tcPr>
            <w:tcW w:w="148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CT-EST-004</w:t>
            </w:r>
          </w:p>
        </w:tc>
        <w:tc>
          <w:tcPr>
            <w:tcW w:w="24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Alterar com justificativa; ver o histórico</w:t>
            </w:r>
          </w:p>
        </w:tc>
        <w:tc>
          <w:tcPr>
            <w:tcW w:w="56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executado nesta tela. Em Condição de Armazenagem (22/10/2026): passou</w:t>
            </w:r>
          </w:p>
        </w:tc>
      </w:tr>
      <w:tr>
        <w:trPr>
          <w:cantSplit/>
        </w:trPr>
        <w:tc>
          <w:tcPr>
            <w:tcW w:w="148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CT-EST-005</w:t>
            </w:r>
          </w:p>
        </w:tc>
        <w:tc>
          <w:tcPr>
            <w:tcW w:w="24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Alterar sem justificativa</w:t>
            </w:r>
          </w:p>
        </w:tc>
        <w:tc>
          <w:tcPr>
            <w:tcW w:w="56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executado nesta tela. Em Condição de Armazenagem (22/10/2026): "A Justificativa é obrigatória!"</w:t>
            </w:r>
          </w:p>
        </w:tc>
      </w:tr>
      <w:tr>
        <w:trPr>
          <w:cantSplit/>
        </w:trPr>
        <w:tc>
          <w:tcPr>
            <w:tcW w:w="148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CT-EST-006</w:t>
            </w:r>
          </w:p>
        </w:tc>
        <w:tc>
          <w:tcPr>
            <w:tcW w:w="24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Inativar e ver se some das listas de escolha</w:t>
            </w:r>
          </w:p>
        </w:tc>
        <w:tc>
          <w:tcPr>
            <w:tcW w:w="56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executado nesta tela. Em Condição de Armazenagem (22/10/2026): passou com ressalva. Nenhum subgrupo foi inativado</w:t>
            </w:r>
          </w:p>
        </w:tc>
      </w:tr>
      <w:tr>
        <w:trPr>
          <w:cantSplit/>
        </w:trPr>
        <w:tc>
          <w:tcPr>
            <w:tcW w:w="148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CT-EST-007</w:t>
            </w:r>
          </w:p>
        </w:tc>
        <w:tc>
          <w:tcPr>
            <w:tcW w:w="24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Excluir sem vínculo, com justificativa</w:t>
            </w:r>
          </w:p>
        </w:tc>
        <w:tc>
          <w:tcPr>
            <w:tcW w:w="56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executado nesta tela. Em Condição de Armazenagem (22/10/2026): passou com ressalva</w:t>
            </w:r>
          </w:p>
        </w:tc>
      </w:tr>
      <w:tr>
        <w:trPr>
          <w:cantSplit/>
        </w:trPr>
        <w:tc>
          <w:tcPr>
            <w:tcW w:w="148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CT-EST-008</w:t>
            </w:r>
          </w:p>
        </w:tc>
        <w:tc>
          <w:tcPr>
            <w:tcW w:w="24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Excluir um registro em uso por outro cadastro</w:t>
            </w:r>
          </w:p>
        </w:tc>
        <w:tc>
          <w:tcPr>
            <w:tcW w:w="56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executado para o subgrupo. O teste de 22/10/2026 excluiu o grupo </w:t>
            </w:r>
            <w:r>
              <w:rPr>
                <w:sz w:val="18"/>
                <w:szCs w:val="20"/>
              </w:rPr>
              <w:t xml:space="preserve">9811</w:t>
            </w:r>
            <w:r>
              <w:rPr>
                <w:sz w:val="18"/>
                <w:szCs w:val="20"/>
              </w:rPr>
              <w:t xml:space="preserve"> (que tem o subgrupo </w:t>
            </w:r>
            <w:r>
              <w:rPr>
                <w:sz w:val="18"/>
                <w:szCs w:val="20"/>
              </w:rPr>
              <w:t xml:space="preserve">9812</w:t>
            </w:r>
            <w:r>
              <w:rPr>
                <w:sz w:val="18"/>
                <w:szCs w:val="20"/>
              </w:rPr>
              <w:t xml:space="preserve">) e foi recusado; o subgrupo nunca foi excluído</w:t>
            </w:r>
          </w:p>
        </w:tc>
      </w:tr>
      <w:tr>
        <w:trPr>
          <w:cantSplit/>
        </w:trPr>
        <w:tc>
          <w:tcPr>
            <w:tcW w:w="148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CT-EST-009</w:t>
            </w:r>
          </w:p>
        </w:tc>
        <w:tc>
          <w:tcPr>
            <w:tcW w:w="24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Relatório e Excel</w:t>
            </w:r>
          </w:p>
        </w:tc>
        <w:tc>
          <w:tcPr>
            <w:tcW w:w="56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executado nesta tela. Em Condição de Armazenagem (22/10/2026): passou; DV-EST-057 (Baixa)</w:t>
            </w:r>
          </w:p>
        </w:tc>
      </w:tr>
      <w:tr>
        <w:trPr>
          <w:cantSplit/>
        </w:trPr>
        <w:tc>
          <w:tcPr>
            <w:tcW w:w="148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CT-EST-011</w:t>
            </w:r>
          </w:p>
        </w:tc>
        <w:tc>
          <w:tcPr>
            <w:tcW w:w="24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Grupo e Subgrupo: subgrupo sem grupo; excluir grupo com subgrupo</w:t>
            </w:r>
          </w:p>
        </w:tc>
        <w:tc>
          <w:tcPr>
            <w:tcW w:w="56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Passou com ressalva, 22/10/2026 (rodada 8): subgrupo sem grupo recusado ("O Grupo do Item é obrigatório"; captura CT-EST-011-passo-1-subgrupo-sem-grupo.png); com grupo, o subgrupo </w:t>
            </w:r>
            <w:r>
              <w:rPr>
                <w:sz w:val="18"/>
                <w:szCs w:val="20"/>
              </w:rPr>
              <w:t xml:space="preserve">9812</w:t>
            </w:r>
            <w:r>
              <w:rPr>
                <w:sz w:val="18"/>
                <w:szCs w:val="20"/>
              </w:rPr>
              <w:t xml:space="preserve"> gravou (CT-EST-011-passo-3-subgrupo.png). Ressalva do caso: o grupo foi salvo sem o Tipo do Item</w:t>
            </w:r>
          </w:p>
        </w:tc>
      </w:tr>
      <w:tr>
        <w:trPr>
          <w:cantSplit/>
        </w:trPr>
        <w:tc>
          <w:tcPr>
            <w:tcW w:w="148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CT-EST-023</w:t>
            </w:r>
          </w:p>
        </w:tc>
        <w:tc>
          <w:tcPr>
            <w:tcW w:w="24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Permissões: abrir as telas pelo endereço sem permissão</w:t>
            </w:r>
          </w:p>
        </w:tc>
        <w:tc>
          <w:tcPr>
            <w:tcW w:w="56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executado: fora do escopo da rodada 8 (22/10/2026); ver a seção Segurança e acesso</w:t>
            </w:r>
          </w:p>
        </w:tc>
      </w:tr>
      <w:tr>
        <w:trPr>
          <w:cantSplit/>
        </w:trPr>
        <w:tc>
          <w:tcPr>
            <w:tcW w:w="148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CT-EST-024</w:t>
            </w:r>
          </w:p>
        </w:tc>
        <w:tc>
          <w:tcPr>
            <w:tcW w:w="24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Pesquisa com e sem acento</w:t>
            </w:r>
          </w:p>
        </w:tc>
        <w:tc>
          <w:tcPr>
            <w:tcW w:w="56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executado nesta tela. No Item (22/10/2026): falhou, DV-EST-053</w:t>
            </w:r>
          </w:p>
        </w:tc>
      </w:tr>
    </w:tbl>
    <w:p>
      <w:pPr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Total de casos do plano ligados a esta tela: 12 (1 Passou; 10 Não executado; 1 Passou com ressalva). Conclusivos </w:t>
      </w:r>
      <w:r>
        <w:rPr>
          <w:b/>
          <w:bCs/>
          <w:szCs w:val="20"/>
        </w:rPr>
        <w:t xml:space="preserve">nesta tela</w:t>
      </w:r>
      <w:r>
        <w:rPr>
          <w:szCs w:val="20"/>
        </w:rPr>
        <w:t xml:space="preserve">: 2.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Casos novos propostos (ainda não executados)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Preparação comum: o ambiente de teste do legado, com um usuário que tenha as funções da tela; registros </w:t>
      </w:r>
      <w:r>
        <w:rPr>
          <w:szCs w:val="20"/>
        </w:rPr>
        <w:t xml:space="preserve">TESTE</w:t>
      </w:r>
      <w:r>
        <w:rPr>
          <w:szCs w:val="20"/>
        </w:rPr>
        <w:t xml:space="preserve"> existentes (ver </w:t>
      </w:r>
      <w:r>
        <w:rPr>
          <w:szCs w:val="20"/>
        </w:rPr>
        <w:t xml:space="preserve">execucao/2026-10-22-rodada-8/massa-de-dados.md</w:t>
      </w:r>
      <w:r>
        <w:rPr>
          <w:szCs w:val="20"/>
        </w:rPr>
        <w:t xml:space="preserve">); nada é apagado ao fim.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019"/>
        <w:gridCol w:w="1360"/>
        <w:gridCol w:w="3005"/>
        <w:gridCol w:w="3247"/>
      </w:tblGrid>
      <w:tr>
        <w:trPr>
          <w:tblHeader/>
          <w:cantSplit/>
        </w:trPr>
        <w:tc>
          <w:tcPr>
            <w:tcW w:w="201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</w:t>
            </w:r>
          </w:p>
        </w:tc>
        <w:tc>
          <w:tcPr>
            <w:tcW w:w="136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Prioridade</w:t>
            </w:r>
          </w:p>
        </w:tc>
        <w:tc>
          <w:tcPr>
            <w:tcW w:w="300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fazer</w:t>
            </w:r>
          </w:p>
        </w:tc>
        <w:tc>
          <w:tcPr>
            <w:tcW w:w="324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Esperado</w:t>
            </w:r>
          </w:p>
        </w:tc>
      </w:tr>
      <w:tr>
        <w:trPr>
          <w:cantSplit/>
        </w:trPr>
        <w:tc>
          <w:tcPr>
            <w:tcW w:w="20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CT-EST-CAD02-01</w:t>
            </w:r>
          </w:p>
        </w:tc>
        <w:tc>
          <w:tcPr>
            <w:tcW w:w="13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30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Incluir dois subgrupos com o código em branco, em sequência; depois um subgrupo com o código de outro subgrupo de outro grupo</w:t>
            </w:r>
          </w:p>
        </w:tc>
        <w:tc>
          <w:tcPr>
            <w:tcW w:w="32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Os dois primeiros recebem números de 5 dígitos; o terceiro é recusado ("Esse código já está cadastrado."): o código é único na empresa</w:t>
            </w:r>
          </w:p>
        </w:tc>
      </w:tr>
      <w:tr>
        <w:trPr>
          <w:cantSplit/>
        </w:trPr>
        <w:tc>
          <w:tcPr>
            <w:tcW w:w="20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CT-EST-CAD02-02</w:t>
            </w:r>
          </w:p>
        </w:tc>
        <w:tc>
          <w:tcPr>
            <w:tcW w:w="13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30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Incluir um subgrupo sem descrição; outro sem grupo; outro com 41 letras na descrição</w:t>
            </w:r>
          </w:p>
        </w:tc>
        <w:tc>
          <w:tcPr>
            <w:tcW w:w="32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Mensagens claras ("A Descrição é obrigatória!", "O Grupo do Item é obrigatório"); a descrição longa é cortada ou recusada de forma clara</w:t>
            </w:r>
          </w:p>
        </w:tc>
      </w:tr>
      <w:tr>
        <w:trPr>
          <w:cantSplit/>
        </w:trPr>
        <w:tc>
          <w:tcPr>
            <w:tcW w:w="20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CT-EST-CAD02-03</w:t>
            </w:r>
          </w:p>
        </w:tc>
        <w:tc>
          <w:tcPr>
            <w:tcW w:w="13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30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Salvar a Diferença Pesagem com 2,50; reabrir; repetir com 0, 100, 500, 1000,5 e 2.5 (ponto); tentar digitar letras e sinal de menos</w:t>
            </w:r>
          </w:p>
        </w:tc>
        <w:tc>
          <w:tcPr>
            <w:tcW w:w="32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Registrar o que a máscara mostra e o que grava (digitando 250 deve mostrar 2,50; digitando 2,5, pela leitura do código, mostra 0,25); registrar o que acontece acima de 100 (RN-EST-CAD02-008)</w:t>
            </w:r>
          </w:p>
        </w:tc>
      </w:tr>
      <w:tr>
        <w:trPr>
          <w:cantSplit/>
        </w:trPr>
        <w:tc>
          <w:tcPr>
            <w:tcW w:w="20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CT-EST-CAD02-04</w:t>
            </w:r>
          </w:p>
        </w:tc>
        <w:tc>
          <w:tcPr>
            <w:tcW w:w="13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30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Com um subgrupo que tem item, trocar o Grupo por outro grupo com Tipo Item CQ diferente (com justificativa); abrir o item e dar entrada de um lote com CQ</w:t>
            </w:r>
          </w:p>
        </w:tc>
        <w:tc>
          <w:tcPr>
            <w:tcW w:w="32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Registrar se há aviso; o item passa ao novo grupo; o tipo da análise no CQ segue o grupo novo (RN-EST-CAD02-007)</w:t>
            </w:r>
          </w:p>
        </w:tc>
      </w:tr>
      <w:tr>
        <w:trPr>
          <w:cantSplit/>
        </w:trPr>
        <w:tc>
          <w:tcPr>
            <w:tcW w:w="20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CT-EST-CAD02-05</w:t>
            </w:r>
          </w:p>
        </w:tc>
        <w:tc>
          <w:tcPr>
            <w:tcW w:w="13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30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Mudar só a Diferença Pesagem (com justificativa) e abrir Ver Log</w:t>
            </w:r>
          </w:p>
        </w:tc>
        <w:tc>
          <w:tcPr>
            <w:tcW w:w="32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Registrar se a mudança aparece no histórico (RN-EST-CAD02-009; art. 125)</w:t>
            </w:r>
          </w:p>
        </w:tc>
      </w:tr>
      <w:tr>
        <w:trPr>
          <w:cantSplit/>
        </w:trPr>
        <w:tc>
          <w:tcPr>
            <w:tcW w:w="20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CT-EST-CAD02-06</w:t>
            </w:r>
          </w:p>
        </w:tc>
        <w:tc>
          <w:tcPr>
            <w:tcW w:w="13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30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Pesquisar pelo código </w:t>
            </w:r>
            <w:r>
              <w:rPr>
                <w:sz w:val="18"/>
                <w:szCs w:val="20"/>
              </w:rPr>
              <w:t xml:space="preserve">9812</w:t>
            </w:r>
            <w:r>
              <w:rPr>
                <w:sz w:val="18"/>
                <w:szCs w:val="20"/>
              </w:rPr>
              <w:t xml:space="preserve"> e, em seguida, por </w:t>
            </w:r>
            <w:r>
              <w:rPr>
                <w:sz w:val="18"/>
                <w:szCs w:val="20"/>
              </w:rPr>
              <w:t xml:space="preserve">09812</w:t>
            </w:r>
          </w:p>
        </w:tc>
        <w:tc>
          <w:tcPr>
            <w:tcW w:w="32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Registrar qual dos dois acha o subgrupo (a leitura do código indica que só </w:t>
            </w:r>
            <w:r>
              <w:rPr>
                <w:sz w:val="18"/>
                <w:szCs w:val="20"/>
              </w:rPr>
              <w:t xml:space="preserve">09812</w:t>
            </w:r>
            <w:r>
              <w:rPr>
                <w:sz w:val="18"/>
                <w:szCs w:val="20"/>
              </w:rPr>
              <w:t xml:space="preserve">)</w:t>
            </w:r>
          </w:p>
        </w:tc>
      </w:tr>
      <w:tr>
        <w:trPr>
          <w:cantSplit/>
        </w:trPr>
        <w:tc>
          <w:tcPr>
            <w:tcW w:w="20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CT-EST-CAD02-07</w:t>
            </w:r>
          </w:p>
        </w:tc>
        <w:tc>
          <w:tcPr>
            <w:tcW w:w="13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30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Inativar um subgrupo que tem item; depois um sem item</w:t>
            </w:r>
          </w:p>
        </w:tc>
        <w:tc>
          <w:tcPr>
            <w:tcW w:w="32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Primeiro: "O registro possui associações. Inativação não permitida!". Segundo: o subgrupo some da lista de escolha do Item</w:t>
            </w:r>
          </w:p>
        </w:tc>
      </w:tr>
      <w:tr>
        <w:trPr>
          <w:cantSplit/>
        </w:trPr>
        <w:tc>
          <w:tcPr>
            <w:tcW w:w="20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CT-EST-CAD02-08</w:t>
            </w:r>
          </w:p>
        </w:tc>
        <w:tc>
          <w:tcPr>
            <w:tcW w:w="13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30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Excluir um subgrupo que tem item; depois um sem item, com justificativa; procurar o excluído na lista e no Ver Log</w:t>
            </w:r>
          </w:p>
        </w:tc>
        <w:tc>
          <w:tcPr>
            <w:tcW w:w="32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Primeiro: "Exclusão inválida, existem referências com outras tabelas."; segundo: some da lista; registrar que não há como ver o histórico do excluído</w:t>
            </w:r>
          </w:p>
        </w:tc>
      </w:tr>
      <w:tr>
        <w:trPr>
          <w:cantSplit/>
        </w:trPr>
        <w:tc>
          <w:tcPr>
            <w:tcW w:w="20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CT-EST-CAD02-09</w:t>
            </w:r>
          </w:p>
        </w:tc>
        <w:tc>
          <w:tcPr>
            <w:tcW w:w="13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30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Filtrar a lista por grupo, imprimir e baixar o Excel; ordenar por código e descrição</w:t>
            </w:r>
          </w:p>
        </w:tc>
        <w:tc>
          <w:tcPr>
            <w:tcW w:w="32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relatório traz os mesmos registros; registrar o rótulo do filtro de grupo no cabeçalho (hoje "Descrição")</w:t>
            </w:r>
          </w:p>
        </w:tc>
      </w:tr>
      <w:tr>
        <w:trPr>
          <w:cantSplit/>
        </w:trPr>
        <w:tc>
          <w:tcPr>
            <w:tcW w:w="20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CT-EST-CAD02-10</w:t>
            </w:r>
          </w:p>
        </w:tc>
        <w:tc>
          <w:tcPr>
            <w:tcW w:w="13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Baixa</w:t>
            </w:r>
          </w:p>
        </w:tc>
        <w:tc>
          <w:tcPr>
            <w:tcW w:w="30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Pesquisar a descrição com e sem acento e em minúsculas</w:t>
            </w:r>
          </w:p>
        </w:tc>
        <w:tc>
          <w:tcPr>
            <w:tcW w:w="32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Registrar se repete o DV-EST-053</w:t>
            </w:r>
          </w:p>
        </w:tc>
      </w:tr>
      <w:tr>
        <w:trPr>
          <w:cantSplit/>
        </w:trPr>
        <w:tc>
          <w:tcPr>
            <w:tcW w:w="20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CT-EST-CAD02-11</w:t>
            </w:r>
          </w:p>
        </w:tc>
        <w:tc>
          <w:tcPr>
            <w:tcW w:w="13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Baixa</w:t>
            </w:r>
          </w:p>
        </w:tc>
        <w:tc>
          <w:tcPr>
            <w:tcW w:w="30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Inativar um grupo (sem subgrupos) e abrir o formulário de Incluir subgrupo</w:t>
            </w:r>
          </w:p>
        </w:tc>
        <w:tc>
          <w:tcPr>
            <w:tcW w:w="32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grupo inativo não aparece na lista de grupos do formulário</w:t>
            </w:r>
          </w:p>
        </w:tc>
      </w:tr>
      <w:tr>
        <w:trPr>
          <w:cantSplit/>
        </w:trPr>
        <w:tc>
          <w:tcPr>
            <w:tcW w:w="20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CT-EST-CAD02-12</w:t>
            </w:r>
          </w:p>
        </w:tc>
        <w:tc>
          <w:tcPr>
            <w:tcW w:w="13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30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Atendimento de OP de um item de subgrupo com Diferença Pesagem 5%: atender com quantidade 4% acima e 6% acima da solicitada (depende da Produção, rodada 11 bloqueou o fluxo)</w:t>
            </w:r>
          </w:p>
        </w:tc>
        <w:tc>
          <w:tcPr>
            <w:tcW w:w="32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Registrar se a tolerância aceita 4% e recusa 6%</w:t>
            </w:r>
          </w:p>
        </w:tc>
      </w:tr>
      <w:tr>
        <w:trPr>
          <w:cantSplit/>
        </w:trPr>
        <w:tc>
          <w:tcPr>
            <w:tcW w:w="20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CT-EST-CAD02-13</w:t>
            </w:r>
          </w:p>
        </w:tc>
        <w:tc>
          <w:tcPr>
            <w:tcW w:w="13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30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Central de Pesagem de um item de subgrupo com percentual: pesar acima do percentual e finalizar</w:t>
            </w:r>
          </w:p>
        </w:tc>
        <w:tc>
          <w:tcPr>
            <w:tcW w:w="32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Registrar se o sistema bloqueia (a trava antiga está comentada) ou só calcula a correção</w:t>
            </w:r>
          </w:p>
        </w:tc>
      </w:tr>
      <w:tr>
        <w:trPr>
          <w:cantSplit/>
        </w:trPr>
        <w:tc>
          <w:tcPr>
            <w:tcW w:w="20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CT-EST-CAD02-14</w:t>
            </w:r>
          </w:p>
        </w:tc>
        <w:tc>
          <w:tcPr>
            <w:tcW w:w="13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30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Incluir dois subgrupos com a mesma descrição no mesmo grupo e códigos diferentes</w:t>
            </w:r>
          </w:p>
        </w:tc>
        <w:tc>
          <w:tcPr>
            <w:tcW w:w="32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Registrar se a tela aceita (o código permite)</w:t>
            </w:r>
          </w:p>
        </w:tc>
      </w:tr>
      <w:tr>
        <w:trPr>
          <w:cantSplit/>
        </w:trPr>
        <w:tc>
          <w:tcPr>
            <w:tcW w:w="20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CT-EST-CAD02-S1</w:t>
            </w:r>
          </w:p>
        </w:tc>
        <w:tc>
          <w:tcPr>
            <w:tcW w:w="13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30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Caso de segurança, descrito na seção Segurança e acesso</w:t>
            </w:r>
          </w:p>
        </w:tc>
        <w:tc>
          <w:tcPr>
            <w:tcW w:w="32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Ver a seção</w:t>
            </w:r>
          </w:p>
        </w:tc>
      </w:tr>
      <w:tr>
        <w:trPr>
          <w:cantSplit/>
        </w:trPr>
        <w:tc>
          <w:tcPr>
            <w:tcW w:w="20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CT-EST-CAD02-S2</w:t>
            </w:r>
          </w:p>
        </w:tc>
        <w:tc>
          <w:tcPr>
            <w:tcW w:w="13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30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Caso de segurança, descrito na seção Segurança e acesso</w:t>
            </w:r>
          </w:p>
        </w:tc>
        <w:tc>
          <w:tcPr>
            <w:tcW w:w="32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Ver a seção</w:t>
            </w:r>
          </w:p>
        </w:tc>
      </w:tr>
      <w:tr>
        <w:trPr>
          <w:cantSplit/>
        </w:trPr>
        <w:tc>
          <w:tcPr>
            <w:tcW w:w="20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CT-EST-CAD02-S3</w:t>
            </w:r>
          </w:p>
        </w:tc>
        <w:tc>
          <w:tcPr>
            <w:tcW w:w="13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30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Caso de segurança, descrito na seção Segurança e acesso</w:t>
            </w:r>
          </w:p>
        </w:tc>
        <w:tc>
          <w:tcPr>
            <w:tcW w:w="32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Ver a seção</w:t>
            </w:r>
          </w:p>
        </w:tc>
      </w:tr>
    </w:tbl>
    <w:p>
      <w:pPr>
        <w:spacing w:after="0" w:line="360" w:lineRule="auto"/>
      </w:pP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Estoque – Subgrupo do Item: Regras de negócio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Estoque – Subgrupo do Item: Regras de negócio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