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Andar: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07-estoque-andar.fluxo.json,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Desenhar o armazém: Lista de códigos aprovada pela área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os andares,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Montar os endereços: Endereços do armazém cadastrados e usados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andar tem só dois estados: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 (campo Ativo). Não há aprovação nem fluxo. O andar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continua no banco com a marca de excluído e não aparece mais nas listas (dalEstoqueAndar.cs:109).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Ativo: aparece para escolha ao cadastrar endereços e nos formulários de entrada e movimentação (endereco_ed.aspx.cs:217; enderecamento_ed.aspx.cs:869; movimentacao_ed.aspx.cs:941).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a descrição fica travada. A tela não confere se ainda há endereços usando o andar.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some das listas; não há tela para consultar o histórico do andar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(dalLogAlteracaoEstoqueAndar.cs:63-75).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 e ativo, com valor antigo, valor novo, usuário e justificativa (dalLogAlteracaoEstoqueAndar.cs:10-59).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(dalLogAlteracaoEstoqueAndar.cs:78-90).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TBL_STQ_ANDAR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(TBL_STQ_ANDAR.sql:11).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endereços que usam o andar não registram a inativação ou a exclusão dele; o endereço guarda só o número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1"/>
        <w:gridCol w:w="2642"/>
        <w:gridCol w:w="1388"/>
        <w:gridCol w:w="2750"/>
      </w:tblGrid>
      <w:tr>
        <w:trPr>
          <w:tblHeader/>
          <w:cantSplit/>
        </w:trPr>
        <w:tc>
          <w:tcPr>
            <w:tcW w:w="2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TBL_STQ_ANDAR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ID_ANDAR, COD_ANDAR (10), ANDAR (30), ATIVO, LIXEIRA, JUSTIFICATIVA, JUSTIFICATIVA_EXCLUSAO, usuário e data de criação e de alteração, ID_EMPRESA, SISTEMA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empresa; </w:t>
            </w:r>
            <w:r>
              <w:rPr>
                <w:sz w:val="18"/>
                <w:b/>
                <w:bCs/>
                <w:szCs w:val="20"/>
              </w:rPr>
              <w:t xml:space="preserve">sem chave única</w:t>
            </w:r>
            <w:r>
              <w:rPr>
                <w:sz w:val="18"/>
                <w:szCs w:val="20"/>
              </w:rPr>
              <w:t xml:space="preserve"> para código nem descrição (a unicidade é conferida pelo programa); a coluna SISTEMA marca o registro "PADRÃO"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TBL_STQ_ANDAR.sql:1-14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ID_ANDAR, ID_LOCAL, ID_RUA, ID_COLUNA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endereço aponta para uma rua, uma coluna e um andar; o índice por local, rua, coluna e andar </w:t>
            </w:r>
            <w:r>
              <w:rPr>
                <w:sz w:val="18"/>
                <w:b/>
                <w:bCs/>
                <w:szCs w:val="20"/>
              </w:rPr>
              <w:t xml:space="preserve">não é único</w:t>
            </w:r>
            <w:r>
              <w:rPr>
                <w:sz w:val="18"/>
                <w:szCs w:val="20"/>
              </w:rPr>
              <w:t xml:space="preserve"> (a repetição de endereço é conferida pelo programa: CT-EST-031, 12/10/2026)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TBL_STQ_ENDERECO.sql:26; TBL_STQ_ENDERECO.sql:39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COD_ENDERECO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</w:t>
            </w:r>
            <w:r>
              <w:rPr>
                <w:sz w:val="18"/>
                <w:szCs w:val="20"/>
              </w:rPr>
              <w:t xml:space="preserve">L</w:t>
            </w:r>
            <w:r>
              <w:rPr>
                <w:sz w:val="18"/>
                <w:szCs w:val="20"/>
              </w:rPr>
              <w:t xml:space="preserve">+código do local, </w:t>
            </w:r>
            <w:r>
              <w:rPr>
                <w:sz w:val="18"/>
                <w:szCs w:val="20"/>
              </w:rPr>
              <w:t xml:space="preserve">R</w:t>
            </w:r>
            <w:r>
              <w:rPr>
                <w:sz w:val="18"/>
                <w:szCs w:val="20"/>
              </w:rPr>
              <w:t xml:space="preserve">+rua, 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+coluna, 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+andar; </w:t>
            </w:r>
            <w:r>
              <w:rPr>
                <w:sz w:val="18"/>
                <w:b/>
                <w:bCs/>
                <w:szCs w:val="20"/>
              </w:rPr>
              <w:t xml:space="preserve">exclui</w:t>
            </w:r>
            <w:r>
              <w:rPr>
                <w:sz w:val="18"/>
                <w:szCs w:val="20"/>
              </w:rPr>
              <w:t xml:space="preserve"> os registros de sistema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VW_ENDERECO.sql:23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7"/>
        <w:gridCol w:w="2565"/>
        <w:gridCol w:w="1163"/>
        <w:gridCol w:w="3786"/>
      </w:tblGrid>
      <w:tr>
        <w:trPr>
          <w:tblHeader/>
          <w:cantSplit/>
        </w:trPr>
        <w:tc>
          <w:tcPr>
            <w:tcW w:w="2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andar é lido por 11 formulários (cadastro do endereço, entradas, endereçamento, movimentações, devolução, saída) para montar as listas de endereço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endereco_ed.aspx.cs:217; enderecamento_ed.aspx.cs:869; movimentacao_ed.aspx.cs:941</w:t>
            </w:r>
          </w:p>
        </w:tc>
      </w:tr>
      <w:tr>
        <w:trPr>
          <w:cantSplit/>
        </w:trPr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Produção e a Devolução da Produção escolhem o endereço pelas mesmas listas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próprio Estoque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entrada_producao_ed.aspx.cs:389; devolucao_producao_ed.aspx.cs:419</w:t>
            </w:r>
          </w:p>
        </w:tc>
      </w:tr>
      <w:tr>
        <w:trPr>
          <w:cantSplit/>
        </w:trPr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estoque_andar_ed.aspx.cs:129</w:t>
            </w:r>
          </w:p>
        </w:tc>
      </w:tr>
      <w:tr>
        <w:trPr>
          <w:cantSplit/>
        </w:trPr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Andar: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Andar: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