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Financeira: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de conta financeira; o que se aplica é a exigência geral de </w:t>
      </w:r>
      <w:r>
        <w:rPr>
          <w:b/>
          <w:bCs/>
          <w:szCs w:val="20"/>
        </w:rPr>
        <w:t xml:space="preserve">registro rastreável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histórico das alterações com motivo</w:t>
      </w:r>
      <w:r>
        <w:rPr>
          <w:szCs w:val="20"/>
        </w:rPr>
        <w:t xml:space="preserve">. A tela atende em parte: a alteração tem histórico com justificativa, mas a exclusão não registra o motivo, a inclusão não tem motivo, o número pode se repetir e o controle de acesso é só visual. Nenhuma linha foi vista em teste de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2"/>
        <w:gridCol w:w="1434"/>
        <w:gridCol w:w="4063"/>
        <w:gridCol w:w="1372"/>
      </w:tblGrid>
      <w:tr>
        <w:trPr>
          <w:tblHeader/>
          <w:cantSplit/>
        </w:trPr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log com o usuário (RN-EST-CAD14-004). Dado mestre de apoio contábil: a rastreabilidade do lote não passa por ele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valor antigo, novo, usuário, data e hora; sem assinatura eletrônica. O número da conta pode ser trocado sem trava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alteração; na </w:t>
            </w:r>
            <w:r>
              <w:rPr>
                <w:sz w:val="18"/>
                <w:b/>
                <w:bCs/>
                <w:szCs w:val="20"/>
              </w:rPr>
              <w:t xml:space="preserve">exclusão</w:t>
            </w:r>
            <w:r>
              <w:rPr>
                <w:sz w:val="18"/>
                <w:szCs w:val="20"/>
              </w:rPr>
              <w:t xml:space="preserve"> é exigido na tela mas </w:t>
            </w:r>
            <w:r>
              <w:rPr>
                <w:sz w:val="18"/>
                <w:b/>
                <w:bCs/>
                <w:szCs w:val="20"/>
              </w:rPr>
              <w:t xml:space="preserve">não chega ao histórico</w:t>
            </w:r>
            <w:r>
              <w:rPr>
                <w:sz w:val="18"/>
                <w:szCs w:val="20"/>
              </w:rPr>
              <w:t xml:space="preserve"> (RN-EST-CAD14-001); na inclusão não existe campo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e a lista confere as permissões de outra tela (DV-EST-008, Alta). Não testado nesta tela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por campo na janela de log; a exclusão não guarda o motivo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número e nome preenchidos; não confere número repetido; o filtro do número na lista é mais restrito que o do formulário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número em branco tem erro de grafia ("numéro"); a de exclusão não diz onde a conta é usada; a confirmação diz "item"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"Por que este cadastro foi excluído e por quem?" Resposta pelo código: o log mostra quem excluiu e quando; o motivo digitado não fica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"Duas contas com o mesmo número são a mesma conta?" Resposta: o sistema não impede a duplicidade.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Financeira: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Financeira: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