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Conversão Fornecedor: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Conversão Fornecedor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Conversão Fornecedor. O menu aponta para </w:t>
      </w:r>
      <w:r>
        <w:rPr>
          <w:szCs w:val="20"/>
        </w:rPr>
        <w:t xml:space="preserve">apresentacao_fornecedor_lst.aspx</w:t>
      </w:r>
      <w:r>
        <w:rPr>
          <w:szCs w:val="20"/>
        </w:rPr>
        <w:t xml:space="preserve"> (dml.sql:1866, função 222). No alto da tela o sistema escreve "CONVERSÃO DE UNIDADE DO FORNECEDOR" (apresentacao_fornecedor_lst.aspx:26 e apresentacao_fornecedor_ed.aspx:26), um nome diferente do que está no menu. Versão legado (código entregue pelo fornecedor, versão 3.5.1). Documentação de 23/10/2026, feita pela leitura do código, pelos documentos já produzidos do Estoque e pelo resultado dos testes de tela de 22/10/2026 (rodada 8, caso CT-EST-017). O que nenhum teste exercitou está marcado como "Extraída" ou "ponto para validar".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No inventário de telas esta tela consta como "Não testada"; os resultados mostram que a inclusão foi exercitada (ver "Divergências encontradas").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Liga o </w:t>
      </w:r>
      <w:r>
        <w:rPr>
          <w:b/>
          <w:bCs/>
          <w:szCs w:val="20"/>
        </w:rPr>
        <w:t xml:space="preserve">código que o fornecedor usa para um produto</w:t>
      </w:r>
      <w:r>
        <w:rPr>
          <w:szCs w:val="20"/>
        </w:rPr>
        <w:t xml:space="preserve"> (o campo </w:t>
      </w:r>
      <w:r>
        <w:rPr>
          <w:szCs w:val="20"/>
        </w:rPr>
        <w:t xml:space="preserve">cProd</w:t>
      </w:r>
      <w:r>
        <w:rPr>
          <w:szCs w:val="20"/>
        </w:rPr>
        <w:t xml:space="preserve"> da nota fiscal eletrônica) ao </w:t>
      </w:r>
      <w:r>
        <w:rPr>
          <w:b/>
          <w:bCs/>
          <w:szCs w:val="20"/>
        </w:rPr>
        <w:t xml:space="preserve">item do estoque</w:t>
      </w:r>
      <w:r>
        <w:rPr>
          <w:szCs w:val="20"/>
        </w:rPr>
        <w:t xml:space="preserve"> e a uma </w:t>
      </w:r>
      <w:r>
        <w:rPr>
          <w:b/>
          <w:bCs/>
          <w:szCs w:val="20"/>
        </w:rPr>
        <w:t xml:space="preserve">apresentação</w:t>
      </w:r>
      <w:r>
        <w:rPr>
          <w:szCs w:val="20"/>
        </w:rPr>
        <w:t xml:space="preserve"> (a embalagem da nota, com o fator que a converte para a unidade do estoque). Quando o Recebimento lê o arquivo XML da nota, o sistema procura aqui o par "fornecedor da nota + código do produto" para saber qual item do estoque é aquele e quanto vale cada unidade da nota na unidade do estoque (LerNFeItem.cs:61-69 e 85-181; dalApresentacaoFornecedor.cs:226-265).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Duas funções em duas páginas: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Lista.</w:t>
      </w:r>
      <w:r>
        <w:rPr>
          <w:szCs w:val="20"/>
        </w:rPr>
        <w:t xml:space="preserve"> Para pesquisar por fornecedor e situação, imprimir ou exportar, editar, excluir e ver o log (apresentacao_fornecedor_lst.aspx.cs:42-197). 2. </w:t>
      </w:r>
      <w:r>
        <w:rPr>
          <w:b/>
          <w:bCs/>
          <w:szCs w:val="20"/>
        </w:rPr>
        <w:t xml:space="preserve">Formulário.</w:t>
      </w:r>
      <w:r>
        <w:rPr>
          <w:szCs w:val="20"/>
        </w:rPr>
        <w:t xml:space="preserve"> Para incluir ou alterar uma ligação: fornecedor, código do item no fornecedor, item, apresentação e situação (apresentacao_fornecedor_ed.aspx.cs:37-219).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cuida das compras e do recebimento e mantém o cadastro dos produtos de cada fornecedor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fornecedor já existe como pessoa jurídica do tipo Fornecedor no Principal (a lista vem de </w:t>
      </w:r>
      <w:r>
        <w:rPr>
          <w:szCs w:val="20"/>
        </w:rPr>
        <w:t xml:space="preserve">bllPJ().retornaListaPJ</w:t>
      </w:r>
      <w:r>
        <w:rPr>
          <w:szCs w:val="20"/>
        </w:rPr>
        <w:t xml:space="preserve">, apresentacao_fornecedor_ed.aspx.cs:39-44).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existe no cadastro de Item (a tela o procura pelo código ou por uma busca, ed.aspx.cs:289-316).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apresentação existe e está ativa, cadastrada na tela Conversão de Unidade (tela 4 deste menu) (ed.aspx.cs:46-51).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a ligação como ativa e volta à lista. Dali em diante, o Recebimento por XML reconhece o produto daquele fornecedor (dalApresentacaoFornecedor.cs:9-61 e 226-265).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muda fornecedor, código, item, apresentação ou situação e grava o log (bllApresentacaoFornecedor.cs:47-76).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marca a ligação como excluída (lixeira); ela some da lista e deixa de ser reconhecida no Recebimento (dalApresentacaoFornecedor.cs:99-119).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passo seguinte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LaboSys_UI/administracao/tabelas_apoio/apresentacao_fornecedor_lst.aspx e .aspx.cs (lista); apresentacao_fornecedor_ed.aspx e .aspx.cs (formulário); apresentacao_fornecedor_rel.aspx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LaboSys_BLL/bllApresentacaoFornecedor.cs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LaboSys_DAL/dalApresentacaoFornecedor.cs, dalLogAlteracao2.cs; LaboSys_Model/ApresentacaoFornecedor.cs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Uso no Recebimento: LaboSys_UI/nfe/LerNFeItem.cs; chamada em LaboSys_UI/estoque/recebimento_ed.aspx.cs:826 e recebimento_ed2.aspx.cs:716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ClassePaiEd.cs, BaseController.cs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Hsolutions.Estoque.DB/Tables/TBL_APRESENTACAO_FORN.sql, TBL_APRESENTACAO_PRODUTO.sql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Hsolutions.Estoque.DB/dml.sql:1866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tabela de tradução entre o que o fornecedor escreve na nota e o que o estoque conhece: sem a ligação ativa, o produto da nota não é reconhecido quando o Recebimento lê o XML.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ligação diz: "este fornecedor chama de X o item Y, na embalagem Z". O Recebimento por XML usa essa ligação para reconhecer o item, converter a quantidade e o valor unitário para a unidade do estoque e ler lote e validade do XML (RN-EST-CAD15-009 a 011). Ela é, portanto, o primeiro elo da cadeia "nota do fornecedor → lote no estoque → quarentena", e o que ela traduz errado entra no sistema com aparência de correto.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proteções simples: os quatro campos são obrigatórios (CT-EST-017, 22/10/2026), a alteração e a exclusão pedem justificativa e há log. Os furos estão no que o código mostra e o teste ainda não viu: o produto da nota sem ligação ativa </w:t>
      </w:r>
      <w:r>
        <w:rPr>
          <w:b/>
          <w:bCs/>
          <w:szCs w:val="20"/>
        </w:rPr>
        <w:t xml:space="preserve">some da nota importada sem aviso</w:t>
      </w:r>
      <w:r>
        <w:rPr>
          <w:szCs w:val="20"/>
        </w:rPr>
        <w:t xml:space="preserve"> (RN-EST-CAD15-009), o código do fornecedor é único na empresa </w:t>
      </w:r>
      <w:r>
        <w:rPr>
          <w:b/>
          <w:bCs/>
          <w:szCs w:val="20"/>
        </w:rPr>
        <w:t xml:space="preserve">mesmo entre fornecedores diferentes</w:t>
      </w:r>
      <w:r>
        <w:rPr>
          <w:szCs w:val="20"/>
        </w:rPr>
        <w:t xml:space="preserve"> (RN-EST-CAD15-005), a mudança desse código </w:t>
      </w:r>
      <w:r>
        <w:rPr>
          <w:b/>
          <w:bCs/>
          <w:szCs w:val="20"/>
        </w:rPr>
        <w:t xml:space="preserve">não vai ao log</w:t>
      </w:r>
      <w:r>
        <w:rPr>
          <w:szCs w:val="20"/>
        </w:rPr>
        <w:t xml:space="preserve"> (RN-EST-CAD15-008) e a lista de fornecedores não consulta aprovação nem avaliação (DV-EST-022, Alta, no Recebimento).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Recebimento (tela 1) e a Conferência de Recebimento (tela 3) trabalham com a nota que esta tela ajuda a montar. Uma ligação errada gera quantidade e valor errados na entrada; uma ligação ausente deixa o item de fora da nota.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o lote e a validade lidos do XML são os dados com que a quarentena e a análise começam. Um lote que não entra, ou entra com quantidade convertida errada, nasce errado para 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Compras e avaliação de fornecedor:</w:t>
      </w:r>
      <w:r>
        <w:rPr>
          <w:szCs w:val="20"/>
        </w:rPr>
        <w:t xml:space="preserve"> a ligação não depende de o fornecedor ter sido aprovado; a avaliação do fornecedor, que existe em outra tela, não é consultada aqui nem no Recebimento.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se cada item da nota foi recebido e conferido. Hoje o sistema não diz quando um item da nota ficou de fora.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) foi aberto para esta tela. O único teste (CT-EST-017, 22/10/2026) passou. O defeito de acesso DV-EST-008 (Alta) vale para as telas operacionais e está descrito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classificou a tela como "Não testada". O resultado de 22/10/2026 (rodada 8) mostra que a inclusão foi exercitada: vazio, só fornecedor, sem apresentação e completo (CT-EST-017). O que não foi visto: alterar, inativar, excluir, relatório, log e o uso no Recebimento.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Produto sem ligação some da nota importada.</w:t>
      </w:r>
      <w:r>
        <w:rPr>
          <w:szCs w:val="20"/>
        </w:rPr>
        <w:t xml:space="preserve"> No Recebimento por XML, o item da nota sem ligação ativa nesta tela não é acrescentado à nota e não há mensagem (LerNFeItem.cs:85-181, o </w:t>
      </w:r>
      <w:r>
        <w:rPr>
          <w:szCs w:val="20"/>
        </w:rPr>
        <w:t xml:space="preserve">if</w:t>
      </w:r>
      <w:r>
        <w:rPr>
          <w:szCs w:val="20"/>
        </w:rPr>
        <w:t xml:space="preserve"> não tem </w:t>
      </w:r>
      <w:r>
        <w:rPr>
          <w:szCs w:val="20"/>
        </w:rPr>
        <w:t xml:space="preserve">else</w:t>
      </w:r>
      <w:r>
        <w:rPr>
          <w:szCs w:val="20"/>
        </w:rPr>
        <w:t xml:space="preserve">). O recebedor pode concluir que a nota tem menos itens do que o fornecedor entregou. A norma pede conferir a entrega contra a nota (RDC 658/2022, art. 183). Gravidade proposta: Alta,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mesmo código do fornecedor não pode ser usado por dois fornecedores.</w:t>
      </w:r>
      <w:r>
        <w:rPr>
          <w:szCs w:val="20"/>
        </w:rPr>
        <w:t xml:space="preserve"> A conferência de duplicidade olha só o código e a empresa, não o fornecedor (dalApresentacaoFornecedor.cs:267-291). Na prática, dois fornecedores com o código "001" para produtos diferentes não cabem no cadastro. Gravidade proposta: Média.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mudança do código do fornecedor não vai ao log</w:t>
      </w:r>
      <w:r>
        <w:rPr>
          <w:szCs w:val="20"/>
        </w:rPr>
        <w:t xml:space="preserve"> (LaboSys_Model/ApresentacaoFornecedor.cs:33). Fere a leitura da informação original (RDC 658/2022, art. 125). Gravidade proposta: Média.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de fornecedores não consulta a avaliação.</w:t>
      </w:r>
      <w:r>
        <w:rPr>
          <w:szCs w:val="20"/>
        </w:rPr>
        <w:t xml:space="preserve"> Qualquer pessoa jurídica do tipo Fornecedor pode receber ligação, sem aprovação (a avaliação do fornecedor não é consultada em nenhuma tela, DV-EST-022).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apresentação não é conferida com o item.</w:t>
      </w:r>
      <w:r>
        <w:rPr>
          <w:szCs w:val="20"/>
        </w:rPr>
        <w:t xml:space="preserve"> A lista traz todas as apresentações ativas (ed.aspx.cs:46-51); uma apresentação de outra unidade pode ser ligada ao item e a conversão importada fica errada.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Clicar nos títulos da lista não reordena</w:t>
      </w:r>
      <w:r>
        <w:rPr>
          <w:szCs w:val="20"/>
        </w:rPr>
        <w:t xml:space="preserve"> (lst.aspx.cs:70-127 e 206-217; dalApresentacaoFornecedor.cs:314-360). Gravidade proposta: Baixa.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texto técnico do erro aparece ao usuário</w:t>
      </w:r>
      <w:r>
        <w:rPr>
          <w:szCs w:val="20"/>
        </w:rPr>
        <w:t xml:space="preserve"> no link "Detalhe do erro (+)" (ed.aspx.cs:192-203; lst.aspx.cs:283-296).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estado "Ativo = Não" trava os campos; para corrigir um dado de uma ligação inativa é preciso reativá-la primeiro (ed.aspx.cs:66-68).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chama "Conversão de Unidade do Fornecedor" no alto e "Conversão Fornecedor" no menu; o nome parecido com "Conversão de Unidade" (tela 4) pode confundir (apresentacao_fornecedor_lst.aspx:26; dml.sql:1855 e 1866).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Dois fornecedores podem usar o mesmo código para produtos diferentes? Se sim, a regra de unicidade precisa incluir o fornecedor.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produto da nota sem ligação deve parar a importação, avisar ou entrar como pendente?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fornecedor aprovado pode ter ligação? Quem aprova e onde fica essa evidência (art. 179, § 2º)?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ligação inativa deve continuar sendo reconhecida no Recebimento?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, linha da tela) diz "Não testada". O resultado de 22/10/2026 (rodada 8) mostra o CT-EST-017 como "Passou" para a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RN-EST-023 diz que o cadastro "é usado por: Recebimento (a confirmar)". O código confirma o uso apenas no Recebimento por XML (LerNFeItem.cs:85); o uso na impressão da pesagem está comentado (pesagem_rel.aspx.cs:22-29).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chama a tela de "Apresentação do fornecedor" e o menu de "Conversão Fornecedor"; o título da tela é "Conversão de Unidade do Fornecedor".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(CT-EST-017) espera que o cadastro "completo apareça no recebimento da nota"; essa parte não foi conferida na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222. A carga do menu cria, para ela, as funções filhas incluir, alterar, excluir, imprimir/Excel e consultar log (dml.sql:1866, com a marca "cria tudo", e 2157-2255).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cada ícone depende da função correspondente: Editar, Excluir e Ver Log são escondidos pelo código por função (apresentacao_fornecedor_lst.aspx.cs:172-196). Imprimir e Excel dependem da função de imprimir (lst.aspx.cs:90-91).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não esconde nada por função; abre para quem chegar até ele.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(ClassePaiLst.cs:69-80; ClassePaiEd.cs:49-60; BaseController.cs:33-40).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verdadeiras; o redirecionamento por falta de permissão só vale se o formulário ligar a marca </w:t>
      </w:r>
      <w:r>
        <w:rPr>
          <w:szCs w:val="20"/>
        </w:rPr>
        <w:t xml:space="preserve">validaPermissao</w:t>
      </w:r>
      <w:r>
        <w:rPr>
          <w:szCs w:val="20"/>
        </w:rPr>
        <w:t xml:space="preserve">, que fica desligada (ClassePaiEd.cs:18 e 77-103). Este formulário não a liga.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de acesso desta tela: </w:t>
      </w:r>
      <w:r>
        <w:rPr>
          <w:b/>
          <w:bCs/>
          <w:szCs w:val="20"/>
        </w:rPr>
        <w:t xml:space="preserve">não executado</w:t>
      </w:r>
      <w:r>
        <w:rPr>
          <w:szCs w:val="20"/>
        </w:rPr>
        <w:t xml:space="preserve">. O defeito DV-EST-008 (Alta, 07/10 e 13/10/2026) mostrou que as telas operacionais do Estoque abrem pelo endereço para quem o menu negou. Por usar a mesma base, esta tela deve se comportar do mesmo modo; falta confirmar (CT-EST-023, não executado em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ligação a editar não vai na linha do endereço: a tela guarda os parâmetros na sessão ao redirecionar (BaseController.cs:93-108 e 111-115). Abrir o formulário direto pelo endereço mostra o formulário de inclusão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valores escolhidos (fornecedor, apresentação, item) chegam do navegador; o servidor só confere o item (ed.aspx.cs:135-140). Não confere se o fornecedor é do tipo Fornecedor nem se a apresentação combina com o item.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filtros desta lista são números (fornecedor e situação) e são convertidos antes de entrar na consulta (dalApresentacaoFornecedor.cs:338-344). O risco de montar o comando SQL com texto digitado, que existe nas outras listas do menu, não aparece aqui. A ordenação do relatório só aceita colunas conhecidas (apresentacao_fornecedor_rel.aspx.cs:25-45).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o link "Detalhe do erro (+)" mostra ao usuário o texto técnico do erro (apresentacao_fornecedor_ed.aspx.cs:199-203; apresentacao_fornecedor_lst.aspx.cs:291-295).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do código do item no fornecedor não é registrada (LaboSys_Model/ApresentacaoFornecedor.cs:33).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de inclusão não traz o conteúdo incluído (dalLogAlteracao2.cs:60-75).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tela para consultar o log de uma ligação excluída.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lista e o formulário pelo endereço com um usuário sem a função desta tela (CT-EST-023).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se um usuário sem a função de excluir vê o ícone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o código do fornecedor e verificar se o log registra quem alterou.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de segurança foi executado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Conversão Fornecedor: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Conversão Fornecedor: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