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Conversão Fornecedor: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 teste de 22/10/2026 (CT-EST-017) ou, quando nenhum teste a exercitou, é "Extraída". A regra geral RN-EST-023 (Apresentação do fornecedor) continua valendo.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6"/>
        <w:gridCol w:w="2489"/>
        <w:gridCol w:w="3425"/>
        <w:gridCol w:w="1741"/>
      </w:tblGrid>
      <w:tr>
        <w:trPr>
          <w:tblHeader/>
          <w:cantSplit/>
        </w:trPr>
        <w:tc>
          <w:tcPr>
            <w:tcW w:w="1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RN-EST-023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do fornecedor: exige item, fornecedor, apresentação, código do item no fornecedor e situação; é usada no Recebimento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apresentacao_fornecedor_ed.aspx.cs:131-219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CT-EST-017, 22/10/2026 (as recusas por campo funcionam e o cadastro completo grava; o uso no Recebimento não foi conferido)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RN-EST-CAD15-001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fornecedor é obrigatório e vem da lista de pessoas jurídicas do tipo Fornecedor, sem consultar a avaliação do fornecedor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apresentacao_fornecedor_ed.aspx:51-56; ed.aspx.cs:39-44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CT-EST-017, 22/10/2026 (recusa vazia). Que a lista não consulta a avaliação do fornecedor: Extraída (ver DV-EST-022, no Recebimento)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RN-EST-CAD15-002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item no fornecedor é obrigatório, de até 14 caracteres, só letras e números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apresentacao_fornecedor_ed.aspx:63-69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CT-EST-017, 22/10/2026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RN-EST-CAD15-003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é obrigatório e é escolhido pela lupa (código exato ou busca); texto solto que não virou item é recusado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apresentacao_fornecedor_ed.aspx.cs:135-140 e 289-316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CT-EST-017, 22/10/2026 (vazio recusado; cadastro completo com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gravou)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RN-EST-CAD15-004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apresentação é obrigatória; a lista traz todas as apresentações ativas, sem relacionar com o item nem com a unidade do item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apresentacao_fornecedor_ed.aspx.cs:46-51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CT-EST-017 (recusa vazia e gravação com a apresentação </w:t>
            </w:r>
            <w:r>
              <w:rPr>
                <w:sz w:val="18"/>
                <w:szCs w:val="20"/>
              </w:rPr>
              <w:t xml:space="preserve">TESTE UNIDADE</w:t>
            </w:r>
            <w:r>
              <w:rPr>
                <w:sz w:val="18"/>
                <w:szCs w:val="20"/>
              </w:rPr>
              <w:t xml:space="preserve">). Que a lista não filtra pelo item: Extraída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RN-EST-CAD15-005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item no fornecedor é único na empresa </w:t>
            </w:r>
            <w:r>
              <w:rPr>
                <w:sz w:val="18"/>
                <w:b/>
                <w:bCs/>
                <w:szCs w:val="20"/>
              </w:rPr>
              <w:t xml:space="preserve">independentemente do fornecedor</w:t>
            </w:r>
            <w:r>
              <w:rPr>
                <w:sz w:val="18"/>
                <w:szCs w:val="20"/>
              </w:rPr>
              <w:t xml:space="preserve">: dois fornecedores não podem usar o mesmo código; registros inativos também contam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dalApresentacaoFornecedor.cs:267-291; bllApresentacaoFornecedor.cs:19-23 e 54-58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Ponto para validar com a área: dois fornecedores podem usar o mesmo código para produtos diferentes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RN-EST-CAD15-006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alterar é obrigatória a justificativa; ao incluir não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apresentacao_fornecedor_ed.aspx.cs:73 e 146-152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a alteração não foi exercitada)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RN-EST-CAD15-007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exige justificativa, é lógica (lixeira) e é recusada se o banco acusar vínculo. Nenhuma tabela do projeto aponta para esta, então a recusa não deve acontecer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apresentacao_fornecedor_lst.aspx.cs:250-302; bllApresentacaoFornecedor.cs:109-135; dalApresentacaoFornecedor.cs:99-119 e 293-312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RN-EST-CAD15-008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vão para o log com usuário, data e justificativa; </w:t>
            </w:r>
            <w:r>
              <w:rPr>
                <w:sz w:val="18"/>
                <w:b/>
                <w:bCs/>
                <w:szCs w:val="20"/>
              </w:rPr>
              <w:t xml:space="preserve">a mudança do código do item no fornecedor não é registrada</w:t>
            </w:r>
            <w:r>
              <w:rPr>
                <w:sz w:val="18"/>
                <w:szCs w:val="20"/>
              </w:rPr>
              <w:t xml:space="preserve"> (o nome do campo no cadastro de campos auditáveis está escrito errado)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LaboSys_Model/ApresentacaoFornecedor.cs:28-35; dalLogAlteracao2.cs:145-199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de código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RN-EST-CAD15-009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por XML procura a ligação pelo código do produto da nota, pelo fornecedor emitente e só entre as </w:t>
            </w:r>
            <w:r>
              <w:rPr>
                <w:sz w:val="18"/>
                <w:b/>
                <w:bCs/>
                <w:szCs w:val="20"/>
              </w:rPr>
              <w:t xml:space="preserve">ativas</w:t>
            </w:r>
            <w:r>
              <w:rPr>
                <w:sz w:val="18"/>
                <w:szCs w:val="20"/>
              </w:rPr>
              <w:t xml:space="preserve">. O produto sem ligação </w:t>
            </w:r>
            <w:r>
              <w:rPr>
                <w:sz w:val="18"/>
                <w:b/>
                <w:bCs/>
                <w:szCs w:val="20"/>
              </w:rPr>
              <w:t xml:space="preserve">é ignorado em silêncio</w:t>
            </w:r>
            <w:r>
              <w:rPr>
                <w:sz w:val="18"/>
                <w:szCs w:val="20"/>
              </w:rPr>
              <w:t xml:space="preserve">: não entra na nota importada e não há aviso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LaboSys_UI/nfe/LerNFeItem.cs:78-181; dalApresentacaoFornecedor.cs:226-265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RN-EST-CAD15-010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importada é a da nota vezes o fator da apresentação; o valor unitário é o valor do item dividido pela quantidade convertida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LerNFeItem.cs:61-69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RN-EST-CAD15-011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lotes do XML (número, validade e quantidade convertida) só são lidos quando a nota traz o grupo de medicamento; sem ele o produto entra sem lote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LerNFeItem.cs:14-37 (a alternativa está comentada, 38-54)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RN-EST-CAD15-012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reordena ao clicar nos títulos: a ordem é guardada, mas a consulta não a aplica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apresentacao_fornecedor_lst.aspx.cs:70-127 e 206-217; dalApresentacaoFornecedor.cs:314-360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Ponto para validar na tela</w:t>
            </w:r>
          </w:p>
        </w:tc>
      </w:tr>
      <w:tr>
        <w:trPr>
          <w:cantSplit/>
        </w:trPr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RN-EST-CAD15-013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só aceita ordenar pelas colunas da lista</w:t>
            </w:r>
          </w:p>
        </w:tc>
        <w:tc>
          <w:tcPr>
            <w:tcW w:w="3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apresentacao_fornecedor_rel.aspx.cs:25-45; dalApresentacaoFornecedor.cs:394-398</w:t>
            </w:r>
          </w:p>
        </w:tc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1"/>
        <w:gridCol w:w="2762"/>
        <w:gridCol w:w="5258"/>
      </w:tblGrid>
      <w:tr>
        <w:trPr>
          <w:tblHeader/>
          <w:cantSplit/>
        </w:trPr>
        <w:tc>
          <w:tcPr>
            <w:tcW w:w="16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CT-EST-017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fornecedor, sem item e sem código; depois completo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8): vazio recusado com as quatro mensagens; só fornecedor recusado; sem apresentação recusado; completo gravou ("Inclusão realizada com sucesso!"). A aparição no Recebimento da nota não foi conferida. Evidências CT-EST-017-passo-1, 2 e 3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outro cadastro do menu (07/10/2026); nesta tela coberto pelo CT-EST-017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na Condição de Armazenagem em 22/10/2026)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na Condição de Armazenagem em 22/10/2026)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na Condição de Armazenagem em 22/10/2026)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na Condição de Armazenagem em 22/10/2026)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conferir que some das listas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na Condição de Armazenagem em 22/10/2026)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na Condição de Armazenagem em 22/10/2026)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 em uso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no Grupo do Item em 22/10/2026)</w:t>
            </w:r>
          </w:p>
        </w:tc>
      </w:tr>
      <w:tr>
        <w:trPr>
          <w:cantSplit/>
        </w:trPr>
        <w:tc>
          <w:tcPr>
            <w:tcW w:w="16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 (executado na Condição de Armazenagem em 22/10/2026)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fornecedor 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, o item </w:t>
      </w:r>
      <w:r>
        <w:rPr>
          <w:szCs w:val="20"/>
        </w:rPr>
        <w:t xml:space="preserve">TESTER805</w:t>
      </w:r>
      <w:r>
        <w:rPr>
          <w:szCs w:val="20"/>
        </w:rPr>
        <w:t xml:space="preserve"> e a apresentação </w:t>
      </w:r>
      <w:r>
        <w:rPr>
          <w:szCs w:val="20"/>
        </w:rPr>
        <w:t xml:space="preserve">TESTE UNIDADE</w:t>
      </w:r>
      <w:r>
        <w:rPr>
          <w:szCs w:val="20"/>
        </w:rPr>
        <w:t xml:space="preserve"> já existem. Para os casos de importação é preciso um arquivo XML de nota fiscal eletrônica de teste, com o fornecedor e dois produtos, e uma nota com o grupo de medicamento (lote e validade).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04"/>
        <w:gridCol w:w="1395"/>
        <w:gridCol w:w="2634"/>
        <w:gridCol w:w="3498"/>
      </w:tblGrid>
      <w:tr>
        <w:trPr>
          <w:tblHeader/>
          <w:cantSplit/>
        </w:trPr>
        <w:tc>
          <w:tcPr>
            <w:tcW w:w="2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Importar no Recebimento um XML com um produto ligado aqui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quantidade convertida e valor unitário corretos; lote e validade lidos do XML (RN-EST-CAD15-009 a 011)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CT-EST-CAD15-02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Importar um XML com dois produtos, um sem ligação aqui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avisa do produto sem ligação; registrar com evidência se ele simplesmente não aparece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CT-EST-CAD15-03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mesmo código a dois fornecedores diferentes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 (produtos diferentes); registrar se recusa com "Esse código já está cadastrado."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CT-EST-CAD15-04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código do item no fornecedor, com justificativa, e abrir o Log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mostra o código antigo e o novo; registrar se a linha não aparece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CT-EST-CAD15-05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 e depois com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"Justificativa é obrigatória!"; com justificativa, o Log mostra o texto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CT-EST-CAD15-06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justificativa e importar o XML do mesmo produto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deixa de ser reconhecido; o histórico da exclusão continua consultável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CT-EST-CAD15-07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ligação e importar o XML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produto é reconhecido (RN-EST-CAD15-009 diz que não)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CT-EST-CAD15-08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 um fornecedor reprovado na Avaliação do Fornecedor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deveria alertar; registrar se aceita sem aviso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CT-EST-CAD15-09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uma apresentação de outra unidade ao item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aceita e qual conversão o Recebimento aplica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CT-EST-CAD15-10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nos títulos da lista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muda; registrar se não muda (RN-EST-CAD15-012)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CT-EST-CAD15-11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e sem filtro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os dados da lista</w:t>
            </w:r>
          </w:p>
        </w:tc>
      </w:tr>
      <w:tr>
        <w:trPr>
          <w:cantSplit/>
        </w:trPr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CT-EST-CAD15-12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 procurar o Log da ligação excluída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histórico da exclusão é consultável por alguma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Conversão Fornecedor: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Conversão Fornecedor: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