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Referência: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4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20-tipo-de-referencia.fluxo.json,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tipo: Escolher o nome do tipo de referência que as notas fiscais poderão citar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Na lista, clicar em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os campos: Código (opcional, até 5 caracteres; sem código o sistema gera), descrição (até 40) e Ativo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Descrição informada? (decisão): A descrição é obrigatória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Clicar em SALVAR e responder SIM a "Confirma a inclusão do item?". Grava e registra 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Uso no Recebimento: O cabeçalho da nota fiscal do Recebimento tem a lista "Tipo de Referência", só com os tipos ativos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com a descrição vazia nada é gravado; a exclusão não confere uso.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tipo tem duas situações: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(padrão ao incluir) e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que só se muda ao editar (tipo_referencia_ed.aspx:61-65). Inativo ou excluído, o tipo sai da lista de escolha do cabeçalho da nota.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inclusão pelo formulário (ativo).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Inativo: escolha do usuário ao editar; os campos ficam travados até reativar.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marca de lixeira (dalTipoReferencia.cs:98-119).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 com usuário e data (bllTipoReferencia.cs:21-22; dalLogAlteracao2.cs:60-75). A linha não traz o conteúdo.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(identificador, código, nome e situação), com valor antigo e novo, usuário e justificativa (bllTipoReferencia.cs:45-46; LaboSys_Model/TipoReferencia.cs:72-75).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 (bllTipoReferencia.cs:65-66; dalLogAlteracao2.cs:224-246).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mostra campo, dado antigo, dado novo, data, hora, usuário e justificativa (tipo_referencia_lst.aspx:196-264).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criou e quem alterou o tipo, e quando, não ficam na tabela (só no log).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é gravada com a empresa em branco: a tela de exclusão não preenche a empresa do objeto antes do log (tipo_referencia_lst.aspx.cs:236-240), e o Log filtra pela empresa da sessão (dalLogAlteracao2.cs:344-352).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de log (TBL_LOG_ALTERACAO_ESTOQUE) não está na pasta de tabelas do projeto de banco do Estoque; ponto para validar com o DBA.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0"/>
        <w:gridCol w:w="2359"/>
        <w:gridCol w:w="1679"/>
        <w:gridCol w:w="2943"/>
      </w:tblGrid>
      <w:tr>
        <w:trPr>
          <w:tblHeader/>
          <w:cantSplit/>
        </w:trPr>
        <w:tc>
          <w:tcPr>
            <w:tcW w:w="2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TBL_TIPO_REFERENCIA</w:t>
            </w:r>
          </w:p>
        </w:tc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ID_TIPO_REFERENCIA, COD_TIPO_REFERENCIA (20), NOME_TIPO_REFERENCIA (200), ATIVO, LIXEIRA, ID_EMPRESA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 só; </w:t>
            </w:r>
            <w:r>
              <w:rPr>
                <w:sz w:val="18"/>
                <w:b/>
                <w:bCs/>
                <w:szCs w:val="20"/>
              </w:rPr>
              <w:t xml:space="preserve">sem unicidade de código; sem colunas de usuário e data</w:t>
            </w:r>
            <w:r>
              <w:rPr>
                <w:sz w:val="18"/>
                <w:szCs w:val="20"/>
              </w:rPr>
              <w:t xml:space="preserve">; TBL_NOTA_FISCAL aponta para ela por chave estrangeira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TBL_TIPO_REFERENCIA.sql:1-9; TBL_NOTA_FISCAL.sql:40 e 56</w:t>
            </w:r>
          </w:p>
        </w:tc>
      </w:tr>
      <w:tr>
        <w:trPr>
          <w:cantSplit/>
        </w:trPr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</w:t>
            </w:r>
          </w:p>
        </w:tc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ID_TIPO_REFERENCIA (opcional), REFERENCIA_FORNECEDOR, NUMERO_REFERENCIA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tipo escolhido na nota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dalNotaFiscal.cs:154-156</w:t>
            </w:r>
          </w:p>
        </w:tc>
      </w:tr>
      <w:tr>
        <w:trPr>
          <w:cantSplit/>
        </w:trPr>
        <w:tc>
          <w:tcPr>
            <w:tcW w:w="2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empresa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inclusão, alteração e exclusão</w:t>
            </w:r>
          </w:p>
        </w:tc>
        <w:tc>
          <w:tcPr>
            <w:tcW w:w="2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 e 297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9"/>
        <w:gridCol w:w="2413"/>
        <w:gridCol w:w="1303"/>
        <w:gridCol w:w="3806"/>
      </w:tblGrid>
      <w:tr>
        <w:trPr>
          <w:tblHeader/>
          <w:cantSplit/>
        </w:trPr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(Recebimento e Movimentação)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lê a lista de tipos ativos e grava o escolhido na nota; a Movimentação imprime o código do tipo no formulário NMM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recebimento_ed.aspx.cs:382-386; dalNotaFiscal.cs:154; dalMovimentacaoItem.cs:197</w:t>
            </w:r>
          </w:p>
        </w:tc>
      </w:tr>
      <w:tr>
        <w:trPr>
          <w:cantSplit/>
        </w:trPr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Principal, Produção, Controle da Qualidade, Comercial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Referência: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Referência: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