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Referência: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Nenhuma regra desta tela foi exercitada por um teste; todas são "Extraída". A regra geral RN-EST-029 continua valendo.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34"/>
        <w:gridCol w:w="2501"/>
        <w:gridCol w:w="3710"/>
        <w:gridCol w:w="1386"/>
      </w:tblGrid>
      <w:tr>
        <w:trPr>
          <w:tblHeader/>
          <w:cantSplit/>
        </w:trPr>
        <w:tc>
          <w:tcPr>
            <w:tcW w:w="2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RN-EST-029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referência: descrição obrigatória; usado pela nota fiscal</w:t>
            </w:r>
          </w:p>
        </w:tc>
        <w:tc>
          <w:tcPr>
            <w:tcW w:w="3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tipo_referencia_ed.aspx.cs:111-188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RN-EST-CAD20-001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 (40 caracteres na tela, 200 no banco), gravada em maiúsculas</w:t>
            </w:r>
          </w:p>
        </w:tc>
        <w:tc>
          <w:tcPr>
            <w:tcW w:w="3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tipo_referencia_ed.aspx:50-57; tipo_referencia_ed.aspx.cs:124; bllTipoReferencia.cs:133-134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RN-EST-CAD20-002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opcional (até 5 caracteres); em branco, o sistema gera o próximo pelo procedimento de numeração; fica travado ao alterar</w:t>
            </w:r>
          </w:p>
        </w:tc>
        <w:tc>
          <w:tcPr>
            <w:tcW w:w="3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bllTipoReferencia.cs:141-145; dalTipoReferencia.cs:213-225; tipo_referencia_ed.aspx.cs:47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RN-EST-CAD20-003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de código repetido </w:t>
            </w:r>
            <w:r>
              <w:rPr>
                <w:sz w:val="18"/>
                <w:b/>
                <w:bCs/>
                <w:szCs w:val="20"/>
              </w:rPr>
              <w:t xml:space="preserve">nunca encontra repetição</w:t>
            </w:r>
            <w:r>
              <w:rPr>
                <w:sz w:val="18"/>
                <w:szCs w:val="20"/>
              </w:rPr>
              <w:t xml:space="preserve"> (o parâmetro está entre aspas no comando) e o banco não tem chave que impeça; dois tipos com o mesmo código são aceitos</w:t>
            </w:r>
          </w:p>
        </w:tc>
        <w:tc>
          <w:tcPr>
            <w:tcW w:w="3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dalTipoReferencia.cs:227-241; TBL_TIPO_REFERENCIA.sql:1-9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Falha de código</w:t>
            </w:r>
          </w:p>
        </w:tc>
      </w:tr>
      <w:tr>
        <w:trPr>
          <w:cantSplit/>
        </w:trPr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RN-EST-CAD20-004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gerado não é conferido depois de gerado</w:t>
            </w:r>
          </w:p>
        </w:tc>
        <w:tc>
          <w:tcPr>
            <w:tcW w:w="3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bllTipoReferencia.cs:139-145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RN-EST-CAD20-005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excluir exigem justificativa; incluir não. O log guarda identificador, código, nome e situação</w:t>
            </w:r>
          </w:p>
        </w:tc>
        <w:tc>
          <w:tcPr>
            <w:tcW w:w="3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tipo_referencia_ed.aspx.cs:117; tipo_referencia_lst.aspx.cs:231-260; LaboSys_Model/TipoReferencia.cs:72-75; bllTipoReferencia.cs:35-57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RN-EST-CAD20-006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e </w:t>
            </w:r>
            <w:r>
              <w:rPr>
                <w:sz w:val="18"/>
                <w:b/>
                <w:bCs/>
                <w:szCs w:val="20"/>
              </w:rPr>
              <w:t xml:space="preserve">não confere</w:t>
            </w:r>
            <w:r>
              <w:rPr>
                <w:sz w:val="18"/>
                <w:szCs w:val="20"/>
              </w:rPr>
              <w:t xml:space="preserve"> se alguma nota usa o tipo; a chave estrangeira da nota não atua porque o registro continua na tabela</w:t>
            </w:r>
          </w:p>
        </w:tc>
        <w:tc>
          <w:tcPr>
            <w:tcW w:w="3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dalTipoReferencia.cs:98-119; bllTipoReferencia.cs:59-77; TBL_NOTA_FISCAL.sql:56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Falha provável de código</w:t>
            </w:r>
          </w:p>
        </w:tc>
      </w:tr>
      <w:tr>
        <w:trPr>
          <w:cantSplit/>
        </w:trPr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RN-EST-CAD20-007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escolha do cabeçalho da nota traz só os tipos ativos e não excluídos; o campo é opcional (nota sem tipo grava nulo)</w:t>
            </w:r>
          </w:p>
        </w:tc>
        <w:tc>
          <w:tcPr>
            <w:tcW w:w="3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recebimento_ed.aspx.cs:382-386; dalNotaFiscal.cs:154 e 268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RN-EST-CAD20-008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tipo da nota sai impresso no formulário de movimentação; um tipo excluído deixa a nota sem o dado na leitura</w:t>
            </w:r>
          </w:p>
        </w:tc>
        <w:tc>
          <w:tcPr>
            <w:tcW w:w="3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dalMovimentacaoItem.cs:197 e 230-231; dalTipoReferencia.cs:161-185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RN-EST-CAD20-009</w:t>
            </w:r>
          </w:p>
        </w:tc>
        <w:tc>
          <w:tcPr>
            <w:tcW w:w="2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tabela não guarda quem criou nem quem alterou o tipo, nem quando; só o log guarda</w:t>
            </w:r>
          </w:p>
        </w:tc>
        <w:tc>
          <w:tcPr>
            <w:tcW w:w="3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TBL_TIPO_REFERENCIA.sql:1-9; dalTipoReferencia.cs:36-96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Nenhum caso foi executado nesta tela.</w:t>
      </w:r>
      <w:r>
        <w:rPr>
          <w:szCs w:val="20"/>
        </w:rPr>
        <w:t xml:space="preserve">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3"/>
        <w:gridCol w:w="4270"/>
        <w:gridCol w:w="3608"/>
      </w:tblGrid>
      <w:tr>
        <w:trPr>
          <w:tblHeader/>
          <w:cantSplit/>
        </w:trPr>
        <w:tc>
          <w:tcPr>
            <w:tcW w:w="17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6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 a 009</w:t>
            </w:r>
          </w:p>
        </w:tc>
        <w:tc>
          <w:tcPr>
            <w:tcW w:w="4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gerais de cadastro (incluir, obrigatórios, duplicidade, alterar, inativar, excluir, relatório)</w:t>
            </w:r>
          </w:p>
        </w:tc>
        <w:tc>
          <w:tcPr>
            <w:tcW w:w="3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executados em outras telas do menu em 22/10/2026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uma nota fiscal de teste em edição no Recebimento (por exemplo, a de teste do Recebimento) para escolher o tipo.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60"/>
        <w:gridCol w:w="1422"/>
        <w:gridCol w:w="2729"/>
        <w:gridCol w:w="3320"/>
      </w:tblGrid>
      <w:tr>
        <w:trPr>
          <w:tblHeader/>
          <w:cantSplit/>
        </w:trPr>
        <w:tc>
          <w:tcPr>
            <w:tcW w:w="21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CT-EST-CAD20-01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código e com a descrição </w:t>
            </w:r>
            <w:r>
              <w:rPr>
                <w:sz w:val="18"/>
                <w:szCs w:val="20"/>
              </w:rPr>
              <w:t xml:space="preserve">TESTE REF</w:t>
            </w:r>
          </w:p>
        </w:tc>
        <w:tc>
          <w:tcPr>
            <w:tcW w:w="3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o sistema gera o código; aparece na lista</w:t>
            </w:r>
          </w:p>
        </w:tc>
      </w:tr>
      <w:tr>
        <w:trPr>
          <w:cantSplit/>
        </w:trPr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CT-EST-CAD20-02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descrição</w:t>
            </w:r>
          </w:p>
        </w:tc>
        <w:tc>
          <w:tcPr>
            <w:tcW w:w="3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"A Descrição é obrigatória!"</w:t>
            </w:r>
          </w:p>
        </w:tc>
      </w:tr>
      <w:tr>
        <w:trPr>
          <w:cantSplit/>
        </w:trPr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CT-EST-CAD20-03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segundo tipo com o mesmo código</w:t>
            </w:r>
          </w:p>
        </w:tc>
        <w:tc>
          <w:tcPr>
            <w:tcW w:w="3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aceita (RN-EST-CAD20-003)</w:t>
            </w:r>
          </w:p>
        </w:tc>
      </w:tr>
      <w:tr>
        <w:trPr>
          <w:cantSplit/>
        </w:trPr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CT-EST-CAD20-04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o tipo no cabeçalho da nota do Recebimento, salvar e reabrir a nota</w:t>
            </w:r>
          </w:p>
        </w:tc>
        <w:tc>
          <w:tcPr>
            <w:tcW w:w="3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fica gravado e é mostrado na nota</w:t>
            </w:r>
          </w:p>
        </w:tc>
      </w:tr>
      <w:tr>
        <w:trPr>
          <w:cantSplit/>
        </w:trPr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CT-EST-CAD20-05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tipo já usado numa nota e reabrir a nota</w:t>
            </w:r>
          </w:p>
        </w:tc>
        <w:tc>
          <w:tcPr>
            <w:tcW w:w="3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deveria ser recusado; registrar se aceita e o que a nota mostra</w:t>
            </w:r>
          </w:p>
        </w:tc>
      </w:tr>
      <w:tr>
        <w:trPr>
          <w:cantSplit/>
        </w:trPr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CT-EST-CAD20-06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com e sem justificativa e abrir o Log</w:t>
            </w:r>
          </w:p>
        </w:tc>
        <w:tc>
          <w:tcPr>
            <w:tcW w:w="3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sem justificativa; o Log mostra antigo, novo, usuário e justificativa</w:t>
            </w:r>
          </w:p>
        </w:tc>
      </w:tr>
      <w:tr>
        <w:trPr>
          <w:cantSplit/>
        </w:trPr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CT-EST-CAD20-07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tipo e abrir o cabeçalho da nota</w:t>
            </w:r>
          </w:p>
        </w:tc>
        <w:tc>
          <w:tcPr>
            <w:tcW w:w="3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sai da lista de escolha</w:t>
            </w:r>
          </w:p>
        </w:tc>
      </w:tr>
      <w:tr>
        <w:trPr>
          <w:cantSplit/>
        </w:trPr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CT-EST-CAD20-08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formulário NMM de uma movimentação de item de nota com tipo</w:t>
            </w:r>
          </w:p>
        </w:tc>
        <w:tc>
          <w:tcPr>
            <w:tcW w:w="3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código do tipo impresso</w:t>
            </w:r>
          </w:p>
        </w:tc>
      </w:tr>
      <w:tr>
        <w:trPr>
          <w:cantSplit/>
        </w:trPr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CT-EST-CAD20-09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código, descrição e situação; Imprimir e Excel</w:t>
            </w:r>
          </w:p>
        </w:tc>
        <w:tc>
          <w:tcPr>
            <w:tcW w:w="3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relatório com os tipos do filtro</w:t>
            </w:r>
          </w:p>
        </w:tc>
      </w:tr>
      <w:tr>
        <w:trPr>
          <w:cantSplit/>
        </w:trPr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CT-EST-CAD20-10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 conferir o Log</w:t>
            </w:r>
          </w:p>
        </w:tc>
        <w:tc>
          <w:tcPr>
            <w:tcW w:w="3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exclusão aparece com a empresa certa (RN-EST-CAD20-005)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Tipo de Referência: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Tipo de Referência: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