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do Estoque: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7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22-parametros-do-estoque.fluxo.json,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Decidir a mudança: saber qual parâmetro mudar, quem aprova e anotar o valor atual fora do sistema (a tela não guarda o anterior) (Antes da tela; config_op.aspx.cs:214; dalSisConfiguracao.cs:102).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tela: a tela abre preenchida com os valores gravados; o quadro da guia GMM e a Margem aparecem conforme o Tipo de Remessa (Na tela; config_op.aspx.cs:120; config_op.aspx.cs:344).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Alterar os campos: listas (cliente, empresa, centros de custo, tipo de remessa), marcações (autorização, lacres, atendimento automático, liberação do produto acabado), textos (assinaturas, etiquetas, guia GMM) e a margem (Na tela; config_op.aspx:95; config_op.aspx:119).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pergunta "Confirma a alteração dos parâmetros?"; responder SIM (Ao salvar; config_op.aspx.cs:334).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Gravou?: o servidor grava todos os campos; uma falha vira erro de servidor, sem mensagem clara (decisão) (Ao salvar; bllSisConfiguracao.cs:26; config_op.aspx.cs:275).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Gravação: a linha de parâmetros é atualizada, sem usuário, data, valor anterior nem justificativa; a cópia em memória é refeita (Ao salvar; dalSisConfiguracao.cs:102; config_op.aspx.cs:271).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Efeito nas telas: o Recebimento, a Pesagem, a Análise de Controle, a Remessa, os Kits, os relatórios e as etiquetas passam a usar o novo valor (Depois; recebimento_ed2.aspx.cs:365; remessa_lst.aspx.cs:29; analise_controle_ed.aspx.cs:1293).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Registrar fora do sistema: a mudança, quem fez, quando, por quê e o valor anterior ficam só em registro manual da Qualidade (Depois; (lacuna: art. 124 e 125)).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para a página inicial sem gravar; responder NÃO à confirmação não grava; uma falha de gravação aparece como erro de servidor.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própria: há uma só linha de parâmetros, sempre editável por quem abre a página. Não há ativo, inativo nem excluído.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valem a partir da gravação: as telas que leem o banco a cada uso (Recebimento, Pesagem, Análise de Controle) veem o novo valor na hora; a Remessa lê a cópia em memória, refeita ao salvar (remessa_lst.aspx.cs:29; config_op.aspx.cs:271).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Nada.</w:t>
      </w:r>
      <w:r>
        <w:rPr>
          <w:szCs w:val="20"/>
        </w:rPr>
        <w:t xml:space="preserve"> O código só faz a atualização; não há chamada de histórico, e a tabela de parâmetros não tem colunas de usuário nem de data de alteração.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mudou, quando, o valor antigo e o novo, e o motivo. Nenhuma tela do Estoque mostra o histórico dos parâmetros.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 nem segunda conferência para mudar um parâmetro que dispensa a segunda pessoa no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do que a mudança afeta nas telas em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7"/>
        <w:gridCol w:w="2821"/>
        <w:gridCol w:w="1270"/>
        <w:gridCol w:w="2823"/>
      </w:tblGrid>
      <w:tr>
        <w:trPr>
          <w:tblHeader/>
          <w:cantSplit/>
        </w:trPr>
        <w:tc>
          <w:tcPr>
            <w:tcW w:w="2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SIS_CONFIGURACAO_ESTOQUE (nome usado pelo código; o projeto de banco traz SIS_CONFIGURACAO com as mesmas colunas: ponto para validar com o DBA)</w:t>
            </w:r>
          </w:p>
        </w:tc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ID; ID_CLIENTE_PADRAO, ID_EMPRESA_PADRAO, ID_CENTRO_CUSTO_PRODUCAO, _CQ e _COMERCIAL; ID_TIPO_REMESSA, MARGEM_REMESSA; AUTORIZA_RECEBIMENTO, AGUARDAR_LIBERACAO_PA; GMM_TITULO, GMM_ASSINATURA01 a 03 (título 100, nome 150), GMM_ORIGEM (60), GMM_COD_ANO, _MES, _DIA, _FIXO (10), _SEQ; REL_ASSINATURA01 a 03; VERSAO_ETQ_CQ, _APROVADO e _REPROVADO (20); LACRE_AMOSTRA_CQ, LACRE_AMOSTRA_NF; AUTO_ATENDIMENTO_AMOSTRA; e colunas de identificação do cliente que esta tela não mexe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só; sem colunas de usuário ou data de alteração; sem chaves para as listas (cliente, empresa e centros de custo guardam só o número)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SIS_CONFIGURACAO.sql:1; dalSisConfiguracao.cs:26; dalSisConfiguracao.cs:102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 (Principal), TBL_CENTRO_CUSTO_ESTOQUE (Estoque), SIS_MODULO</w:t>
            </w:r>
          </w:p>
        </w:tc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cliente, empresa e centro de custo; habilitação do módulo Produção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config_op.aspx.cs:84; config_op.aspx.cs:51; config_op.aspx.cs:126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4"/>
        <w:gridCol w:w="2495"/>
        <w:gridCol w:w="1382"/>
        <w:gridCol w:w="3740"/>
      </w:tblGrid>
      <w:tr>
        <w:trPr>
          <w:tblHeader/>
          <w:cantSplit/>
        </w:trPr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pessoas jurídicas (cliente e empresa) para as listas; usuário e empresa da sessão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base, pelo cadastro de pessoa jurídica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config_op.aspx.cs:84; config_op.aspx.cs:39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se o módulo Produção está habilitado para mostrar a marcação de liberação do produto acabado; a Produção não lê estes parâmetros (busca por nome no código)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módulos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config_op.aspx.cs:126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e Garantia da Qualidade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 Controle e a Movimentação de Quarentena leem o centro de custo da Qualidade, o atendimento automático, os lacres, a liberação do produto acabado e as versões de etiqueta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direta ao parâmetro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analise_controle_ed.aspx.cs:1293; analise_controle_ed.aspx.cs:1305; movimentacao_cq_ed.aspx.cs:54; VisualizaRelatorio.aspx.cs:1429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(eventos da ANVISA) e Remessa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Padrão alimenta os eventos e a origem da remessa; o Tipo de Remessa escolhe a tela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direta ao parâmetro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bllEventoAnvisa.cs:145; remessa_ed.aspx.cs:121; remessa_lst.aspx.cs:29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Estoque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API de solicitação lê o atendimento automático da amostra; o mapa da API aponta a mesma tabela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SolicitacaoApi.cs:98; ParametroMap.cs:10</w:t>
            </w:r>
          </w:p>
        </w:tc>
      </w:tr>
      <w:tr>
        <w:trPr>
          <w:cantSplit/>
        </w:trPr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do Estoque: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do Estoque: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