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Movimentação: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99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28-tipo-de-movimentacao.fluxo.json,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tipo: decidir se é entrada ou saída, se atualiza o custo médio e, nas entradas, se vem por nota fiscal; conferir se já existe tipo parecido (a tela não impede descrição repetida) (Antes da tela; tipo_movimentacao_ed.aspx:72; tipo_movimentacao_ed.aspx:88; tipo_movimentacao_ed.aspx:100).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e não mostra os 18 tipos de sistema (Na tela; tipo_movimentacao_lst.aspx.cs:29; tipo_movimentacao_lst.aspx.cs:77).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tipo com o código travado (decisão) (Na tela; tipo_movimentacao_lst.aspx:85; tipo_movimentacao_lst.aspx:118).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descrição, Entrada ou Saída (em Saída, custo médio e nota fiscal viram Não e travam), Atualiza Custo Médio, Entrada por Nota Fiscal e Ativo; ao alterar, a justificativa (Na tela; tipo_movimentacao_ed.aspx.cs:208; tipo_movimentacao_ed.aspx.cs:53).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tipo_movimentacao_ed.aspx.cs:269).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tipo_movimentacao_ed.aspx.cs:129; bllTipoMovimentacao.cs:53).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tipo gravado com usuário e data; "Obriga análise" e "Movimentação especial" ficam em Não; histórico da inclusão ou dos campos auditados alterados (Ao salvar; dalTipoMovimentacao.cs:176; dalTipoMovimentacao.cs:237).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nas telas: o tipo ativo aparece na Entrada de Material - Outras ou no Recebimento (entradas) e na Saída de Material (saídas); se atualiza custo, o gatilho recalcula o custo médio a cada movimentação (Depois; entrada_material_ed.aspx.cs:376; saida_item_ed.aspx.cs:72; TBL_MOVIMENTACAO_ITEM.sql:123).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esconde o tipo das listas; excluir pede justificativa, é lógico e é recusado se houver movimentação, saída ou nota fiscal usando o tipo (Depois; tipo_movimentacao_lst.aspx.cs:248; bllTipoMovimentacao.cs:120).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o tipo é oferecido nas telas de entrada e de saída conforme o sentido e a marca de nota fiscal (entrada_material_ed.aspx.cs:376; saida_item_ed.aspx.cs:72).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nas movimentações já gravadas; some das listas de escolha. Ao abrir um tipo inativo, descrição, tipo e marcações ficam travados (tipo_movimentacao_ed.aspx.cs:275).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 sistema:</w:t>
      </w:r>
      <w:r>
        <w:rPr>
          <w:szCs w:val="20"/>
        </w:rPr>
        <w:t xml:space="preserve"> não aparece na lista; é usado por número no código (Constantes.cs:55).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tipo fica no banco com a marca de lixeira e some da lista (dalTipoMovimentacao.cs:260).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sem valores e sem justificativa (bllTipoMovimentacao.cs:63).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auditado alterado, com antigo, novo, usuário, data, hora e justificativa (bllTipoMovimentacao.cs:99; TipoMovimentacao.cs:80).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(bllTipoMovimentacao.cs:128).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no próprio tipo (dalTipoMovimentacao.cs:176; dalTipoMovimentacao.cs:215).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tipo excluído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audita o sentido entrada, "Obriga análise", "Movimentação especial" nem "interna"; o campo de sentido aparece com título e valor trocados (ver Regras de negócio).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quais movimentações usaram o tipo e não avisa quem o usa quando ele é alterado.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eletrônica; a inclusão não pede 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19"/>
        <w:gridCol w:w="2235"/>
        <w:gridCol w:w="1851"/>
        <w:gridCol w:w="2926"/>
      </w:tblGrid>
      <w:tr>
        <w:trPr>
          <w:tblHeader/>
          <w:cantSplit/>
        </w:trPr>
        <w:tc>
          <w:tcPr>
            <w:tcW w:w="2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ID_TIPO_MOVIMENTACAO (identidade, começa em 100), TIPO_MOVIMENTACAO (100), COD_TIPO_MOVIMENTACAO (10), ATIVO, ID_EMPRESA, ATUALIZA_CUSTO, OBRIGA_ANALISE, IND_ENTRADA, IND_SAIDA, IND_SISTEMA, IND_INTERNA, IND_MOV_NF, IND_MOV_ESPECIAL, IND_RESERVA, LIXEIRA, usuário e data de criação e de alteração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chave para empresa; TBL_MOVIMENTACAO, TBL_SAIDA e TBL_NOTA_FISCAL apontam para ela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TBL_TIPO_MOVIMENTACAO.sql:1; TBL_TIPO_MOVIMENTACAO.sql:2; TBL_MOVIMENTACAO.sql:29; TBL_SAIDA.sql:30; TBL_NOTA_FISCAL.sql:57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 (gatilho trAllMovimentacaoItem)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 um item de movimentação, o gatilho lê ATUALIZA_CUSTO do tipo e, se for 1, chama pAtualizaCustoItem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movimentação ao tipo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TBL_MOVIMENTACAO_ITEM.sql:123; pAtualizaCustoItem.sql:47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5)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dalTipoMovimentacao.cs:337</w:t>
            </w:r>
          </w:p>
        </w:tc>
      </w:tr>
      <w:tr>
        <w:trPr>
          <w:cantSplit/>
        </w:trPr>
        <w:tc>
          <w:tcPr>
            <w:tcW w:w="2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5"/>
        <w:gridCol w:w="2125"/>
        <w:gridCol w:w="1076"/>
        <w:gridCol w:w="4035"/>
      </w:tblGrid>
      <w:tr>
        <w:trPr>
          <w:tblHeader/>
          <w:cantSplit/>
        </w:trPr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(Entrada de Material - Outras, Saída de Material, Recebimento e Nota Fiscal, Devolução, Movimentação de Material, relatório de NMM e de entrada por nota)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Leem a lista de tipos ativos e gravam o número do tipo escolhido na movimentação, saída ou nota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entrada_material_ed.aspx.cs:376; saida_item_ed.aspx.cs:72; recebimento_ed.aspx.cs:433; recebimentoNF_ed.aspx.cs:319; devolucao_ed.aspx.cs:283; movimentacao_ed.aspx.cs:226; rc03_Nmm.aspx.cs:31; rpt_entradaNf.aspx.cs:35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(custo do item)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e a rotina de custo leem "atualiza custo médio" do tipo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TBL_MOVIMENTACAO_ITEM.sql:123; pAtualizaCustoItem.sql:47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tipo_movimentacao_lst.aspx.cs:16; tipo_movimentacao_lst.aspx.cs:59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Movimentação: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Movimentação: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