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Gestão Analítica: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Menu Gestão Analítica</w:t>
      </w:r>
      <w:r>
        <w:rPr>
          <w:szCs w:val="20"/>
        </w:rPr>
        <w:t xml:space="preserve"> cobre as telas que transformam o estoque em decisão de compra: análise de estoque, curva ABC e pedido de compra.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 de 07 a 22/10/2026.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ESTOQUE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pedido de compra deveria nascer de um fornecedor aprovado; o que o sistema sugere e o que entra no pedido influenciam diretamente o que chega na doca.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identificação e rastreabilidade do lote, registro de cada ação quando é feita (art. 124), registro das alterações com o motivo (art. 125 e parágrafo único) e controle de acesso ao sistema (Guia 33/2020).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44"/>
        <w:gridCol w:w="3715"/>
        <w:gridCol w:w="4872"/>
      </w:tblGrid>
      <w:tr>
        <w:trPr>
          <w:tblHeader/>
          <w:cantSplit/>
        </w:trPr>
        <w:tc>
          <w:tcPr>
            <w:tcW w:w="10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Estoque</w:t>
            </w:r>
          </w:p>
        </w:tc>
        <w:tc>
          <w:tcPr>
            <w:tcW w:w="4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 ABC</w:t>
            </w:r>
          </w:p>
        </w:tc>
        <w:tc>
          <w:tcPr>
            <w:tcW w:w="4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</w:t>
            </w:r>
          </w:p>
        </w:tc>
        <w:tc>
          <w:tcPr>
            <w:tcW w:w="4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Gestão Analítica: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Gestão Analítica: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