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Análise de Estoque: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749846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01-analise-de-estoque.fluxo.json,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Dados do item prontos: estoque mínimo e máximo, dias de reposição e consumo registrado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grupo e períodos: grupo, subgrupo opcional, meses de consumo e de necessidade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Períodos dentro de 12 meses? (decisão): o código não confere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Gerar a análise: calcula o consumo médio e a sugestão de cada item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Gerar pedido? (decisão): leva à tela Pedido de Compra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sem item no grupo, o sistema avisa "Nenhum item foi encontrado com os parâmetros informados!"; VOLTAR sai sem gravar.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análise não tem situação própria: está "gerada" ou "excluída" (marcada como lixeira) (TBL_ANALISE_ESTOQUE.sql).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item da análise guarda "Comprar" (sim ou não) e o número do item de pedido, quando o pedido foi gerado (TBL_ANALISE_ESTOQUE_ITEM.sql). A grade mostra isso em verde (com pedido) e em vermelho (sem pedido).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uma coluna oculta "pedido gerado" que decide se o ícone de excluir aparece (analise_lst.aspx.cs:228-229).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e a exclusão da análise gravam o log de alteração (bllAnaliseEstoque.cs:62 e 117). A alteração grava o log com a chave errada: </w:t>
      </w:r>
      <w:r>
        <w:rPr>
          <w:szCs w:val="20"/>
        </w:rPr>
        <w:t xml:space="preserve">"IdPedido"</w:t>
      </w:r>
      <w:r>
        <w:rPr>
          <w:szCs w:val="20"/>
        </w:rPr>
        <w:t xml:space="preserve"> no lugar de </w:t>
      </w:r>
      <w:r>
        <w:rPr>
          <w:szCs w:val="20"/>
        </w:rPr>
        <w:t xml:space="preserve">"IdAnalise"</w:t>
      </w:r>
      <w:r>
        <w:rPr>
          <w:szCs w:val="20"/>
        </w:rPr>
        <w:t xml:space="preserve"> (bllAnaliseEstoque.cs:97); como a análise não é alterada por tela, isso não tem efeito hoje.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não tem o ícone de Log, embora o tratamento exista no código (analise_lst.aspx.cs:193-200).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ficam em TBL_ANALISE_ESTOQUE (ID_USUARIO_CRIACAO, DATA_CRIACAO), mas nenhuma tela mostra esse usuário.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parâmetros usados no cálculo além dos dois períodos: os estoques mínimo, máximo e os dias de reposição são copiados do item na hora da análise (dalAnaliseEstoqueItem.cs:308-310) e ficam gravados na linha, o que é bom; mas a regra aplicada (qual fórmula) não é guardada.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análise: não existe campo.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76"/>
        <w:gridCol w:w="2151"/>
        <w:gridCol w:w="1296"/>
        <w:gridCol w:w="3208"/>
      </w:tblGrid>
      <w:tr>
        <w:trPr>
          <w:tblHeader/>
          <w:cantSplit/>
        </w:trPr>
        <w:tc>
          <w:tcPr>
            <w:tcW w:w="2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CODIGO_ANALISE, DATA_ANALISE, ID_ITEM_GRUPO, ID_ITEM_SUBGRUPO, PERIODO_ANALISE, PERIODO_ESTOQUE, usuário e data de criação, LIXEIRA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grupo e subgrupo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TBL_ANALISE_ESTOQUE.sql:1-18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TBL_ANALISE_ESTOQUE_ITEM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CMM, QTDE_PEDIDO, QTDE_CQ, QTDE_DISPONIVEL, QTDE_TOTAL, QTDE_SUGERIDA (sem casas decimais), QTDE_DIA_ESTOQUE, ESTOQUE_MIN, ESTOQUE_MAX, TEMPO_REPOSICAO, VAL_CUSTO_MEDIO, VAL_ULTIMO_CUSTO, PONTO_PEDIDO, COMPRAR, ID_PEDIDO_ITEM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item; liga ao item de pedido gerado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TBL_ANALISE_ESTOQUE_ITEM.sql:1-25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 e TBL_MOVIMENTACAO_ITEM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Saídas externas do item no período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do CMM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dalAnaliseEstoqueItem.cs:344-358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TBL_PEDIDO_COMPRA e TBL_PEDIDO_COMPRA_ITEM_REC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Pedidos em andamento e recebimentos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de "Qtde Pedido"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dalAnaliseEstoqueItem.cs:321-341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disponível, em quarentena e total do item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dos saldos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dalSaldo.cs:62-94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NUM_STQ_MIN, NUM_STQ_MAX, NR_DIAS_REPOSICAO, VAL_CUSTO_MEDIO, VAL_ULTIMO_CUSTO</w:t>
            </w:r>
          </w:p>
        </w:tc>
        <w:tc>
          <w:tcPr>
            <w:tcW w:w="12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do cálculo</w:t>
            </w:r>
          </w:p>
        </w:tc>
        <w:tc>
          <w:tcPr>
            <w:tcW w:w="3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dalAnaliseEstoqueItem.cs:308-312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2"/>
        <w:gridCol w:w="2321"/>
        <w:gridCol w:w="1414"/>
        <w:gridCol w:w="3694"/>
      </w:tblGrid>
      <w:tr>
        <w:trPr>
          <w:tblHeader/>
          <w:cantSplit/>
        </w:trPr>
        <w:tc>
          <w:tcPr>
            <w:tcW w:w="22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6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(Movimentação, Saldo, Item, Pedido de Compra)</w:t>
            </w:r>
          </w:p>
        </w:tc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consumo, saldos, parâmetros do item e pedidos em andamento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dalAnaliseEstoqueItem.cs:282-360</w:t>
            </w:r>
          </w:p>
        </w:tc>
      </w:tr>
      <w:tr>
        <w:trPr>
          <w:cantSplit/>
        </w:trPr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 / Compras</w:t>
            </w:r>
          </w:p>
        </w:tc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nem gravado: a cotação e a compra real ficam fora do Estoque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fluxos/compras-fornecedor.md</w:t>
            </w:r>
          </w:p>
        </w:tc>
      </w:tr>
      <w:tr>
        <w:trPr>
          <w:cantSplit/>
        </w:trPr>
        <w:tc>
          <w:tcPr>
            <w:tcW w:w="22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 do usuário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banco</w:t>
            </w:r>
          </w:p>
        </w:tc>
        <w:tc>
          <w:tcPr>
            <w:tcW w:w="36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analise_ed.aspx.cs:162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Análise de Estoque: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Análise de Estoque: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