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Kits: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37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02-solicitacao-de-kits.fluxo.json,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Kit cadastrado e cliente com filial: kit ativo e cliente pronto para receber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Criar a solicitação: tipo, almoxarifado, centro de custo e cliente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kits ou componentes e finalizar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solicitação / guia: local de entrega e justificativa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Guia gerada? (decisão): Sim: remessa GMM e solicitações de estoque criadas. Não: mensagem de erro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Atender, separar e liberar a remessa: Atendimento, Separação e Remessa de Material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Kit enviado: aparece no Controle de Kits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reabrir (antes da guia), cancelar a guia (antes do atendimento), cancelar a reposição, excluir a solicitação.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de kit passa por: </w:t>
      </w:r>
      <w:r>
        <w:rPr>
          <w:b/>
          <w:bCs/>
          <w:szCs w:val="20"/>
        </w:rPr>
        <w:t xml:space="preserve">Em elaboração</w:t>
      </w:r>
      <w:r>
        <w:rPr>
          <w:szCs w:val="20"/>
        </w:rPr>
        <w:t xml:space="preserve"> (inclusão de kits) → </w:t>
      </w:r>
      <w:r>
        <w:rPr>
          <w:b/>
          <w:bCs/>
          <w:szCs w:val="20"/>
        </w:rPr>
        <w:t xml:space="preserve">Finalizada</w:t>
      </w:r>
      <w:r>
        <w:rPr>
          <w:szCs w:val="20"/>
        </w:rPr>
        <w:t xml:space="preserve"> → </w:t>
      </w:r>
      <w:r>
        <w:rPr>
          <w:b/>
          <w:bCs/>
          <w:szCs w:val="20"/>
        </w:rPr>
        <w:t xml:space="preserve">Com guia</w:t>
      </w:r>
      <w:r>
        <w:rPr>
          <w:szCs w:val="20"/>
        </w:rPr>
        <w:t xml:space="preserve"> (remessa e solicitações de estoque geradas) → </w:t>
      </w:r>
      <w:r>
        <w:rPr>
          <w:b/>
          <w:bCs/>
          <w:szCs w:val="20"/>
        </w:rPr>
        <w:t xml:space="preserve">Enviada</w:t>
      </w:r>
      <w:r>
        <w:rPr>
          <w:szCs w:val="20"/>
        </w:rPr>
        <w:t xml:space="preserve"> (remessa com liberação, mostrada como Enviado = Sim) (solicitacao_kit_ed.aspx.cs:83-93; dalSolicitacaoKit.cs:338). A solicitação de estoque ligada tem a situação própria do módulo (Fechado ao ser gerada; depois separada, atendida e finalizada) (Constantes.cs:30-36).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Criação e alterações do cabeçalho: log de campo (dado antigo, dado novo, usuário, data e hora) na tabela de log do Estoque (bllSolicitacaoKit.cs:48-49 e 95-96).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Ver log da lista abre esse histórico (solicitacao_kit_lst.aspx.cs:200-211 e 360-392).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de gerar a guia, reabrir, cancelar a guia ou a reposição, e de excluir (RN-EST-KIT02-009).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da solicitação e o cancelamento da reposição não gravam log (RN-EST-KIT02-010).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troca e exclusão de kits e itens da solicitação: sem log nas classes de itens (bllSolicitacaoKitItem.cs:13-79).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22"/>
        <w:gridCol w:w="1923"/>
        <w:gridCol w:w="1595"/>
        <w:gridCol w:w="3291"/>
      </w:tblGrid>
      <w:tr>
        <w:trPr>
          <w:tblHeader/>
          <w:cantSplit/>
        </w:trPr>
        <w:tc>
          <w:tcPr>
            <w:tcW w:w="2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almoxarifado, centro de custo, cliente, filial, remessa, individual (componente), finalizado, reposição, solicitação de origem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Ligada à remessa e, pelos itens, às solicitações de estoque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TBL_SOLICITACAO_KIT.sql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TBL_SOLICITACAO_KIT_ITEM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kit, item do kit, kit, item, quantidade de kits, quantidade do item, solicitação de estoque e item de estoque gerados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solicitação de kit à de estoque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TBL_SOLICITACAO_KIT_ITEM.sql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cliente, cliente de entrega, filial, tipo de remessa, GMM (título, assinaturas, origem), marca de kit, centro de custo de origem, liberação, embarque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pela tela com tipo GMM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TBL_REMESSA.sql; solicitacao_kit_ed.aspx.cs:1187-1215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 / TBL_SOLICITACAO_ITEM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estoque (tipo Cliente, situação Fechado) e itens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por kit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solicitacao_kit_ed.aspx.cs:1096-1135</w:t>
            </w:r>
          </w:p>
        </w:tc>
      </w:tr>
      <w:tr>
        <w:trPr>
          <w:cantSplit/>
        </w:trPr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TBL_KIT_REPOSICAO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Remessa, lote da remessa, solicitação de kit antiga e nova, quantidade</w:t>
            </w:r>
          </w:p>
        </w:tc>
        <w:tc>
          <w:tcPr>
            <w:tcW w:w="1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Rastro das reposições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TBL_KIT_REPOSICAO.sql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0"/>
        <w:gridCol w:w="2539"/>
        <w:gridCol w:w="1504"/>
        <w:gridCol w:w="3488"/>
      </w:tblGrid>
      <w:tr>
        <w:trPr>
          <w:tblHeader/>
          <w:cantSplit/>
        </w:trPr>
        <w:tc>
          <w:tcPr>
            <w:tcW w:w="21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Clientes, filiais e endereços (pessoa jurídica); usuário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 de integração e sessão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solicitacao_kit_ed.aspx.cs:403-415 e 1352-1360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remessa e solicitações de estoque; lê kits e itens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e gravação direta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solicitacao_kit_ed.aspx.cs:1076-1267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da Qualidade, Comercial, Rastreabilidade</w:t>
            </w:r>
          </w:p>
        </w:tc>
        <w:tc>
          <w:tcPr>
            <w:tcW w:w="2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(a remessa não chega à Rastreabilidade, DV-EST-072)</w:t>
            </w:r>
          </w:p>
        </w:tc>
        <w:tc>
          <w:tcPr>
            <w:tcW w:w="1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Kits: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Kits: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