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Menu Regulatório: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Menu Regulatório</w:t>
      </w:r>
      <w:r>
        <w:rPr>
          <w:szCs w:val="20"/>
        </w:rPr>
        <w:t xml:space="preserve"> cobre o almoxarifado do Controle da Qualidade: entrada, movimentação e consulta das amostras de retenção, referência e estabilidade.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 de 07 a 22/10/2026.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ESTOQUE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amostras de retenção e de estabilidade são a prova de que o lote era bom, e a norma exige guardá-las por um prazo; uma saída antes do prazo ou uma amostra invisível na consulta fere diretamente a norma.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identificação e rastreabilidade do lote, registro de cada ação quando é feita (art. 124), registro das alterações com o motivo (art. 125 e parágrafo único) e controle de acesso ao sistema (Guia 33/2020).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881"/>
        <w:gridCol w:w="5122"/>
        <w:gridCol w:w="3628"/>
      </w:tblGrid>
      <w:tr>
        <w:trPr>
          <w:tblHeader/>
          <w:cantSplit/>
        </w:trPr>
        <w:tc>
          <w:tcPr>
            <w:tcW w:w="8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51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6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5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Regulatório</w:t>
            </w:r>
          </w:p>
        </w:tc>
        <w:tc>
          <w:tcPr>
            <w:tcW w:w="3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5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Movimentações</w:t>
            </w:r>
          </w:p>
        </w:tc>
        <w:tc>
          <w:tcPr>
            <w:tcW w:w="3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51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Disponibilidade</w:t>
            </w:r>
          </w:p>
        </w:tc>
        <w:tc>
          <w:tcPr>
            <w:tcW w:w="36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Menu Regulatório: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Menu Regulatório: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