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Movimentações: Fluxos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FLUXO DA TELA</w:t>
      </w:r>
    </w:p>
    <w:p>
      <w:pPr>
        <w:keepNext/>
        <w:spacing w:after="0" w:line="360" w:lineRule="auto"/>
      </w:pPr>
    </w:p>
    <w:p>
      <w:pPr>
        <w:keepNext/>
        <w:spacing w:before="120" w:after="0"/>
        <w:jc w:val="center"/>
      </w:pPr>
      <w:r>
        <w:rPr>
          <w:noProof/>
        </w:rPr>
        <w:drawing>
          <wp:inline distT="0" distB="0" distL="0" distR="0">
            <wp:extent cx="5400000" cy="3190153"/>
            <wp:effectExtent l="0" t="0" r="0" b="0"/>
            <wp:docPr id="5001" name="Imagem 5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" name="Imagem 5001"/>
                    <pic:cNvPicPr/>
                  </pic:nvPicPr>
                  <pic:blipFill>
                    <a:blip r:embed="rIdHom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90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  <w:sz w:val="18"/>
          <w:szCs w:val="20"/>
        </w:rPr>
        <w:t xml:space="preserve">Figura 1 – Fluxograma da tela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Fluxograma no arquivo 02-movimentacoes.fluxo.json, em 4 fases. Etapas, na mesma ordem do arquivo: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1. Lote com análise e destino pronto: o lote tem análise do CQ; existe almoxarifado do tipo com endereço livre (Antes da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2. Escolher a operação e o lote: Entrada, Saída ou Movimentação interna; PESQUISAR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3. Tipo, origem, destino e quantidade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4. Movimentação aceita? (decisão): Sim: pede confirmação. Não: mensagem em vermelho e nada é gravado (Na tela).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5. Finalizar: grava a movimentação; na Entrada, cria também a pendência (Ao salvar).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Etapa 6. Conferir: Consulta Disponibilidade, Histórico do Lote e a lista (Depois).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Saídas alternativas: LIMPAR volta ao início; a Saída não pede justificativa nem confere o prazo de guarda.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SITUAÇÕES E HISTÓRICO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Situações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 tela não tem situações próprias. Cada operação grava uma movimentação concluída. O saldo da amostra aparece pela marca do almoxarifado do endereço: retenção, referência ou estabilidade (VW_SALDO_ITEM_LOTE_ENDERECO.sql:53-55).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grava na trilha de auditoria (histórico)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movimentação grava código, data e hora, usuário e as linhas de item (movimentacoes_ed.aspx.cs:197-241; MovimentacaoServico.cs:50-62).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Entrada manual grava também a pendência (data de criação sem hora, usuário) (movimentacoes_ed.aspx.cs:172-180).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Histórico do Lote mostra o tipo, o endereço, a quantidade e a data, </w:t>
      </w:r>
      <w:r>
        <w:rPr>
          <w:b/>
          <w:bCs/>
          <w:szCs w:val="20"/>
        </w:rPr>
        <w:t xml:space="preserve">sem usuário e sem hora</w:t>
      </w:r>
      <w:r>
        <w:rPr>
          <w:szCs w:val="20"/>
        </w:rPr>
        <w:t xml:space="preserve"> (DV-EST-034; CT-EST-177, 22/10/2026).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O que não grava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observação digitada (RN-EST-REG02-007).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A justificativa ou o motivo da saída e o destino da amostra.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O custo: a linha de saída vai com custo zero (CT-EST-177: "saída aparece com custo 0,00").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szCs w:val="20"/>
        </w:rPr>
        <w:t xml:space="preserve">Log de campo: não existe para esta tela (RN-EST-REG02-009).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DADOS</w:t>
      </w:r>
    </w:p>
    <w:p>
      <w:pPr>
        <w:keepNext/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Tabelas do banco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3113"/>
        <w:gridCol w:w="1689"/>
        <w:gridCol w:w="1565"/>
        <w:gridCol w:w="3264"/>
      </w:tblGrid>
      <w:tr>
        <w:trPr>
          <w:tblHeader/>
          <w:cantSplit/>
        </w:trPr>
        <w:tc>
          <w:tcPr>
            <w:tcW w:w="311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Tabela</w:t>
            </w:r>
          </w:p>
        </w:tc>
        <w:tc>
          <w:tcPr>
            <w:tcW w:w="168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Colunas principais</w:t>
            </w:r>
          </w:p>
        </w:tc>
        <w:tc>
          <w:tcPr>
            <w:tcW w:w="156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Chaves e ligações</w:t>
            </w:r>
          </w:p>
        </w:tc>
        <w:tc>
          <w:tcPr>
            <w:tcW w:w="326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Código, data, tipo, usuário, observação (não preenchida por esta tela), reserva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de observação existe e não é gravada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TBL_MOVIMENTACAO.sql; movimentacoes_ed.aspx.cs:197-205</w:t>
            </w:r>
          </w:p>
        </w:tc>
      </w:tr>
      <w:tr>
        <w:trPr>
          <w:cantSplit/>
        </w:trPr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Item, lote, endereço, quantidade, sentido (saída ou entrada), custo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saída e, na entrada e na interna, uma entrada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TBL_MOVIMENTACAO_ITEM.sql; movimentacoes_ed.aspx.cs:209-238</w:t>
            </w:r>
          </w:p>
        </w:tc>
      </w:tr>
      <w:tr>
        <w:trPr>
          <w:cantSplit/>
        </w:trPr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TBL_REGULATORIO_RESERVA / TBL_RESERVA_ENDERECO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Pendência da entrada manual e seus endereços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Criada e finalizada pela Entrada manual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movimentacoes_ed.aspx.cs:172-193</w:t>
            </w:r>
          </w:p>
        </w:tc>
      </w:tr>
      <w:tr>
        <w:trPr>
          <w:cantSplit/>
        </w:trPr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TBL_TIPO_MOVIMENTACAO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Tipos de reserva (entrada, saída) e transferência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 de "reserva" filtra os tipos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TipoMovimentacaoServico.cs:47-55</w:t>
            </w:r>
          </w:p>
        </w:tc>
      </w:tr>
      <w:tr>
        <w:trPr>
          <w:cantSplit/>
        </w:trPr>
        <w:tc>
          <w:tcPr>
            <w:tcW w:w="311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</w:t>
            </w:r>
          </w:p>
        </w:tc>
        <w:tc>
          <w:tcPr>
            <w:tcW w:w="168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Saldo de retenção, referência e estabilidade</w:t>
            </w:r>
          </w:p>
        </w:tc>
        <w:tc>
          <w:tcPr>
            <w:tcW w:w="156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Calculado pela marca do almoxarifado do endereço</w:t>
            </w:r>
          </w:p>
        </w:tc>
        <w:tc>
          <w:tcPr>
            <w:tcW w:w="326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VW_SALDO_ITEM_LOTE_ENDERECO.sql:53-55</w:t>
            </w:r>
          </w:p>
        </w:tc>
      </w:tr>
    </w:tbl>
    <w:p>
      <w:pPr>
        <w:spacing w:after="0" w:line="360" w:lineRule="auto"/>
      </w:pP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Leituras e gravações em outros módulos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253"/>
        <w:gridCol w:w="2275"/>
        <w:gridCol w:w="1378"/>
        <w:gridCol w:w="3725"/>
      </w:tblGrid>
      <w:tr>
        <w:trPr>
          <w:tblHeader/>
          <w:cantSplit/>
        </w:trPr>
        <w:tc>
          <w:tcPr>
            <w:tcW w:w="225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Módulo</w:t>
            </w:r>
          </w:p>
        </w:tc>
        <w:tc>
          <w:tcPr>
            <w:tcW w:w="227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é lido ou gravado</w:t>
            </w:r>
          </w:p>
        </w:tc>
        <w:tc>
          <w:tcPr>
            <w:tcW w:w="137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Meio</w:t>
            </w:r>
          </w:p>
        </w:tc>
        <w:tc>
          <w:tcPr>
            <w:tcW w:w="372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a última análise do lote (qualquer resultado)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direta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movimentacoes_ed.aspx.cs:165-168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Estoque (outras telas)</w:t>
            </w:r>
          </w:p>
        </w:tc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Lê lote, saldo e endereços; grava movimentação e pendência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e gravação direta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movimentacoes_ed.aspx.cs:129-245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Principal</w:t>
            </w:r>
          </w:p>
        </w:tc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Usuário e grupo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Sessão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movimentacoes_ed.aspx.cs:176 e 603</w:t>
            </w:r>
          </w:p>
        </w:tc>
      </w:tr>
      <w:tr>
        <w:trPr>
          <w:cantSplit/>
        </w:trPr>
        <w:tc>
          <w:tcPr>
            <w:tcW w:w="225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Produção, Comercial, Rastreabilidade</w:t>
            </w:r>
          </w:p>
        </w:tc>
        <w:tc>
          <w:tcPr>
            <w:tcW w:w="227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Nada é lido ou gravado</w:t>
            </w:r>
          </w:p>
        </w:tc>
        <w:tc>
          <w:tcPr>
            <w:tcW w:w="137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se aplica</w:t>
            </w:r>
          </w:p>
        </w:tc>
        <w:tc>
          <w:tcPr>
            <w:tcW w:w="372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fonte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Movimentações: Fluxos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Hom1" Type="http://schemas.openxmlformats.org/officeDocument/2006/relationships/image" Target="media/hom_00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Movimentações: Fluxos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