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Movimentações: Manual do usuário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MANUAL DO USUÁRIO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Antes de começar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lote precisa ter análise no CQ. Para entrada e transferência, precisa existir almoxarifado do tipo (retenção, referência ou estabilidade) ligado ao seu grupo, com local, rua, coluna e andar livres; e o item precisa ter a marca correspondente no cadastro do Item para a Consulta Disponibilidade listá-lo. </w:t>
      </w:r>
      <w:r>
        <w:rPr>
          <w:b/>
          <w:bCs/>
          <w:szCs w:val="20"/>
        </w:rPr>
        <w:t xml:space="preserve">Para saída, combine antes com a Garantia da Qualidade</w:t>
      </w:r>
      <w:r>
        <w:rPr>
          <w:szCs w:val="20"/>
        </w:rPr>
        <w:t xml:space="preserve">: a tela não confere o prazo de guarda.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Fazer uma entrada, saída ou movimentação interna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1. No menu Regulatório, abra Movimentações e clique em Incluir.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2. Escolha a Operação (Entrada, Saída ou Movimentação Interna) e informe o Item Entrada (número completo do item de entrada do lote). Clique em PESQUISAR.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3. A tela mostra Item, Unid. Medida, Custo Médio, Lote e Validade. Na Saída, sem saldo regulatório, aparece "Lote não possui saldo regulatório".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4. Escolha o Tipo de Movimentação (por exemplo, Entrada - Retenção, Saída - Retenção). A Observação é opcional e </w:t>
      </w:r>
      <w:r>
        <w:rPr>
          <w:b/>
          <w:bCs/>
          <w:szCs w:val="20"/>
        </w:rPr>
        <w:t xml:space="preserve">não é gravada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5. Em Origem, escolha o Endereço (o Disponível aparece) e informe a quantidade em Movimentar.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6. Em Destino (entrada e movimentação interna), escolha Almoxarifado, Local, Rua, Coluna e Andar; o Endereço Destino aparece.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7. Clique em FINALIZAR e responda SIM a "Deseja finalizar a movimentação?". Aparece "Movimentação finalizada!". OK volta para a lista.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Consultar a lista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Filtros: Tipo (referência, retenção ou estabilidade), Item Entrada (parte do número) e Período. A grade mostra Data, Tipo Movimentação, Item, Item Entrada, Origem, Destino e Qtde. Não há ícone para abrir ou ver o histórico.</w:t>
      </w:r>
    </w:p>
    <w:p>
      <w:pPr>
        <w:keepNext/>
        <w:spacing w:before="120" w:after="0" w:line="360" w:lineRule="auto"/>
        <w:rPr>
          <w:b/>
          <w:bCs/>
          <w:color w:val="1F497D" w:themeColor="text2"/>
          <w:szCs w:val="20"/>
        </w:rPr>
      </w:pPr>
      <w:r>
        <w:rPr>
          <w:b/>
          <w:bCs/>
          <w:color w:val="1F497D" w:themeColor="text2"/>
          <w:szCs w:val="20"/>
        </w:rPr>
        <w:t xml:space="preserve">Atenção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saída da amostra de retenção, antes do vencimento do lote, é aceita sem aviso, sem impedimento e sem justificativa (DV-EST-068). Dê saída só com decisão da Garantia da Qualidade, registrada por fora.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Entrada nesta tela não pede o tipo de estabilidade e não abre o acompanhamento no CQ (DV-EST-071).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Para o lote </w:t>
      </w:r>
      <w:r>
        <w:rPr>
          <w:szCs w:val="20"/>
        </w:rPr>
        <w:t xml:space="preserve">TESTEPA001</w:t>
      </w:r>
      <w:r>
        <w:rPr>
          <w:szCs w:val="20"/>
        </w:rPr>
        <w:t xml:space="preserve"> a origem da Saída não lista endereço e a tela mostra "Object reference not set to an instance of an object." (DV-EST-047). Com lotes novos a Saída funciona.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CAMPOS DA TELA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das fontes na seção Resumo da tela.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Filtros da lista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073"/>
        <w:gridCol w:w="1162"/>
        <w:gridCol w:w="1450"/>
        <w:gridCol w:w="2285"/>
        <w:gridCol w:w="3661"/>
      </w:tblGrid>
      <w:tr>
        <w:trPr>
          <w:tblHeader/>
          <w:cantSplit/>
        </w:trPr>
        <w:tc>
          <w:tcPr>
            <w:tcW w:w="107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16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5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228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66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0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</w:t>
            </w:r>
          </w:p>
        </w:tc>
        <w:tc>
          <w:tcPr>
            <w:tcW w:w="11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2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Todos, Referência, Retenção ou Estabilidade</w:t>
            </w:r>
          </w:p>
        </w:tc>
        <w:tc>
          <w:tcPr>
            <w:tcW w:w="36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movimentacoes_lst.aspx:45-51</w:t>
            </w:r>
          </w:p>
        </w:tc>
      </w:tr>
      <w:tr>
        <w:trPr>
          <w:cantSplit/>
        </w:trPr>
        <w:tc>
          <w:tcPr>
            <w:tcW w:w="10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 Entrada</w:t>
            </w:r>
          </w:p>
        </w:tc>
        <w:tc>
          <w:tcPr>
            <w:tcW w:w="11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2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Até 12 caracteres; procura dentro do número do item de entrada (diferencia maiúscula de minúscula)</w:t>
            </w:r>
          </w:p>
        </w:tc>
        <w:tc>
          <w:tcPr>
            <w:tcW w:w="36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movimentacoes_lst.aspx:55-56; RegulatorioReservaServico.cs:346-349</w:t>
            </w:r>
          </w:p>
        </w:tc>
      </w:tr>
      <w:tr>
        <w:trPr>
          <w:cantSplit/>
        </w:trPr>
        <w:tc>
          <w:tcPr>
            <w:tcW w:w="10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Período</w:t>
            </w:r>
          </w:p>
        </w:tc>
        <w:tc>
          <w:tcPr>
            <w:tcW w:w="11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Datas</w:t>
            </w:r>
          </w:p>
        </w:tc>
        <w:tc>
          <w:tcPr>
            <w:tcW w:w="14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2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Início e fim da movimentação</w:t>
            </w:r>
          </w:p>
        </w:tc>
        <w:tc>
          <w:tcPr>
            <w:tcW w:w="36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movimentacoes_lst.aspx:59-83; movimentacoes_lst.aspx.cs:86-88</w:t>
            </w:r>
          </w:p>
        </w:tc>
      </w:tr>
      <w:tr>
        <w:trPr>
          <w:cantSplit/>
        </w:trPr>
        <w:tc>
          <w:tcPr>
            <w:tcW w:w="10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</w:t>
            </w:r>
          </w:p>
        </w:tc>
        <w:tc>
          <w:tcPr>
            <w:tcW w:w="11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 paginada</w:t>
            </w:r>
          </w:p>
        </w:tc>
        <w:tc>
          <w:tcPr>
            <w:tcW w:w="14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2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Data, Tipo Movimentação, Item, Item Entrada, Origem, Destino e Qtde; sem ícones</w:t>
            </w:r>
          </w:p>
        </w:tc>
        <w:tc>
          <w:tcPr>
            <w:tcW w:w="36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movimentacoes_lst.aspx:124-160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Formulário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24"/>
        <w:gridCol w:w="985"/>
        <w:gridCol w:w="1402"/>
        <w:gridCol w:w="2442"/>
        <w:gridCol w:w="3278"/>
      </w:tblGrid>
      <w:tr>
        <w:trPr>
          <w:tblHeader/>
          <w:cantSplit/>
        </w:trPr>
        <w:tc>
          <w:tcPr>
            <w:tcW w:w="152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98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0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244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27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5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Operação</w:t>
            </w:r>
          </w:p>
        </w:tc>
        <w:tc>
          <w:tcPr>
            <w:tcW w:w="9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24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Entrada, Saída ou Movimentação Interna; trava depois de pesquisar o lote</w:t>
            </w:r>
          </w:p>
        </w:tc>
        <w:tc>
          <w:tcPr>
            <w:tcW w:w="32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movimentacoes_ed.aspx:53-61; movimentacoes_ed.aspx.cs:409-413</w:t>
            </w:r>
          </w:p>
        </w:tc>
      </w:tr>
      <w:tr>
        <w:trPr>
          <w:cantSplit/>
        </w:trPr>
        <w:tc>
          <w:tcPr>
            <w:tcW w:w="15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 Entrada</w:t>
            </w:r>
          </w:p>
        </w:tc>
        <w:tc>
          <w:tcPr>
            <w:tcW w:w="9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24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Até 100 caracteres; "Item de entrada não informado!"; usa o primeiro lote encontrado com esse número</w:t>
            </w:r>
          </w:p>
        </w:tc>
        <w:tc>
          <w:tcPr>
            <w:tcW w:w="32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movimentacoes_ed.aspx:66-68; movimentacoes_ed.aspx.cs:379-387</w:t>
            </w:r>
          </w:p>
        </w:tc>
      </w:tr>
      <w:tr>
        <w:trPr>
          <w:cantSplit/>
        </w:trPr>
        <w:tc>
          <w:tcPr>
            <w:tcW w:w="15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Item, Unid. Medida, Custo Médio, Lote, Validade</w:t>
            </w:r>
          </w:p>
        </w:tc>
        <w:tc>
          <w:tcPr>
            <w:tcW w:w="9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4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Gerado</w:t>
            </w:r>
          </w:p>
        </w:tc>
        <w:tc>
          <w:tcPr>
            <w:tcW w:w="24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Dados do lote encontrado</w:t>
            </w:r>
          </w:p>
        </w:tc>
        <w:tc>
          <w:tcPr>
            <w:tcW w:w="32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movimentacoes_ed.aspx:82-108; movimentacoes_ed.aspx.cs:400-404</w:t>
            </w:r>
          </w:p>
        </w:tc>
      </w:tr>
      <w:tr>
        <w:trPr>
          <w:cantSplit/>
        </w:trPr>
        <w:tc>
          <w:tcPr>
            <w:tcW w:w="15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 de Movimentação</w:t>
            </w:r>
          </w:p>
        </w:tc>
        <w:tc>
          <w:tcPr>
            <w:tcW w:w="9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24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tipos de movimentação de reserva: de entrada, de saída ou a transferência, conforme a operação</w:t>
            </w:r>
          </w:p>
        </w:tc>
        <w:tc>
          <w:tcPr>
            <w:tcW w:w="32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movimentacoes_ed.aspx:121-125; movimentacoes_ed.aspx.cs:480-496</w:t>
            </w:r>
          </w:p>
        </w:tc>
      </w:tr>
      <w:tr>
        <w:trPr>
          <w:cantSplit/>
        </w:trPr>
        <w:tc>
          <w:tcPr>
            <w:tcW w:w="15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Observação</w:t>
            </w:r>
          </w:p>
        </w:tc>
        <w:tc>
          <w:tcPr>
            <w:tcW w:w="9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4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Até 100 caracteres; </w:t>
            </w:r>
            <w:r>
              <w:rPr>
                <w:sz w:val="18"/>
                <w:b/>
                <w:bCs/>
                <w:szCs w:val="20"/>
              </w:rPr>
              <w:t xml:space="preserve">não é gravada</w:t>
            </w:r>
          </w:p>
        </w:tc>
        <w:tc>
          <w:tcPr>
            <w:tcW w:w="32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movimentacoes_ed.aspx:134; movimentacoes_ed.aspx.cs:467 e 828</w:t>
            </w:r>
          </w:p>
        </w:tc>
      </w:tr>
      <w:tr>
        <w:trPr>
          <w:cantSplit/>
        </w:trPr>
        <w:tc>
          <w:tcPr>
            <w:tcW w:w="15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Endereço (origem)</w:t>
            </w:r>
          </w:p>
        </w:tc>
        <w:tc>
          <w:tcPr>
            <w:tcW w:w="9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24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Entrada: endereços do lote com saldo, fora da quarentena e fora de almoxarifado especial. Saída e interna: endereços do lote em almoxarifado do tipo escolhido</w:t>
            </w:r>
          </w:p>
        </w:tc>
        <w:tc>
          <w:tcPr>
            <w:tcW w:w="32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movimentacoes_ed.aspx:147-155; movimentacoes_ed.aspx.cs:498-541</w:t>
            </w:r>
          </w:p>
        </w:tc>
      </w:tr>
      <w:tr>
        <w:trPr>
          <w:cantSplit/>
        </w:trPr>
        <w:tc>
          <w:tcPr>
            <w:tcW w:w="15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Disponível</w:t>
            </w:r>
          </w:p>
        </w:tc>
        <w:tc>
          <w:tcPr>
            <w:tcW w:w="9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Número travado</w:t>
            </w:r>
          </w:p>
        </w:tc>
        <w:tc>
          <w:tcPr>
            <w:tcW w:w="14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Gerado</w:t>
            </w:r>
          </w:p>
        </w:tc>
        <w:tc>
          <w:tcPr>
            <w:tcW w:w="24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Saldo do lote no endereço de origem</w:t>
            </w:r>
          </w:p>
        </w:tc>
        <w:tc>
          <w:tcPr>
            <w:tcW w:w="32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movimentacoes_ed.aspx:157-160; movimentacoes_ed.aspx.cs:547-561</w:t>
            </w:r>
          </w:p>
        </w:tc>
      </w:tr>
      <w:tr>
        <w:trPr>
          <w:cantSplit/>
        </w:trPr>
        <w:tc>
          <w:tcPr>
            <w:tcW w:w="15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Movimentar</w:t>
            </w:r>
          </w:p>
        </w:tc>
        <w:tc>
          <w:tcPr>
            <w:tcW w:w="9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Número</w:t>
            </w:r>
          </w:p>
        </w:tc>
        <w:tc>
          <w:tcPr>
            <w:tcW w:w="14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24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"Quantidade não informada!"; não pode passar do disponível</w:t>
            </w:r>
          </w:p>
        </w:tc>
        <w:tc>
          <w:tcPr>
            <w:tcW w:w="32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movimentacoes_ed.aspx:164-171; movimentacoes_ed.aspx.cs:156-163</w:t>
            </w:r>
          </w:p>
        </w:tc>
      </w:tr>
      <w:tr>
        <w:trPr>
          <w:cantSplit/>
        </w:trPr>
        <w:tc>
          <w:tcPr>
            <w:tcW w:w="15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Almoxarifado / Local / Rua / Coluna / Andar</w:t>
            </w:r>
          </w:p>
        </w:tc>
        <w:tc>
          <w:tcPr>
            <w:tcW w:w="9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Listas em cascata</w:t>
            </w:r>
          </w:p>
        </w:tc>
        <w:tc>
          <w:tcPr>
            <w:tcW w:w="14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Sim, menos na Saída</w:t>
            </w:r>
          </w:p>
        </w:tc>
        <w:tc>
          <w:tcPr>
            <w:tcW w:w="24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"Almoxarifado não informado!", "Local não Informado!", "Rua não informada!", "Coluna não informada!", "Andar não informado!"; Almoxarifado só dos tipos de reserva, ativos, do grupo e da empresa da sessão</w:t>
            </w:r>
          </w:p>
        </w:tc>
        <w:tc>
          <w:tcPr>
            <w:tcW w:w="32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movimentacoes_ed.aspx:189-246; movimentacoes_ed.aspx.cs:596-640</w:t>
            </w:r>
          </w:p>
        </w:tc>
      </w:tr>
      <w:tr>
        <w:trPr>
          <w:cantSplit/>
        </w:trPr>
        <w:tc>
          <w:tcPr>
            <w:tcW w:w="15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Endereço Destino</w:t>
            </w:r>
          </w:p>
        </w:tc>
        <w:tc>
          <w:tcPr>
            <w:tcW w:w="9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4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Gerado</w:t>
            </w:r>
          </w:p>
        </w:tc>
        <w:tc>
          <w:tcPr>
            <w:tcW w:w="24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Monta L000-R000-C000-A000; "Endereço inválido!"</w:t>
            </w:r>
          </w:p>
        </w:tc>
        <w:tc>
          <w:tcPr>
            <w:tcW w:w="32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movimentacoes_ed.aspx:249-255; movimentacoes_ed.aspx.cs:152-154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BOTÕES E AÇÕES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838"/>
        <w:gridCol w:w="1964"/>
        <w:gridCol w:w="1926"/>
        <w:gridCol w:w="3903"/>
      </w:tblGrid>
      <w:tr>
        <w:trPr>
          <w:tblHeader/>
          <w:cantSplit/>
        </w:trPr>
        <w:tc>
          <w:tcPr>
            <w:tcW w:w="183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Botão ou ação</w:t>
            </w:r>
          </w:p>
        </w:tc>
        <w:tc>
          <w:tcPr>
            <w:tcW w:w="196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192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</w:t>
            </w:r>
          </w:p>
        </w:tc>
        <w:tc>
          <w:tcPr>
            <w:tcW w:w="390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8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 / Limpar (lista)</w:t>
            </w:r>
          </w:p>
        </w:tc>
        <w:tc>
          <w:tcPr>
            <w:tcW w:w="19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 para quem tem a função de consultar</w:t>
            </w:r>
          </w:p>
        </w:tc>
        <w:tc>
          <w:tcPr>
            <w:tcW w:w="19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ou esvazia</w:t>
            </w:r>
          </w:p>
        </w:tc>
        <w:tc>
          <w:tcPr>
            <w:tcW w:w="3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movimentacoes_lst.aspx.cs:51-80</w:t>
            </w:r>
          </w:p>
        </w:tc>
      </w:tr>
      <w:tr>
        <w:trPr>
          <w:cantSplit/>
        </w:trPr>
        <w:tc>
          <w:tcPr>
            <w:tcW w:w="18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</w:t>
            </w:r>
          </w:p>
        </w:tc>
        <w:tc>
          <w:tcPr>
            <w:tcW w:w="19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Para quem tem a função de incluir</w:t>
            </w:r>
          </w:p>
        </w:tc>
        <w:tc>
          <w:tcPr>
            <w:tcW w:w="19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formulário</w:t>
            </w:r>
          </w:p>
        </w:tc>
        <w:tc>
          <w:tcPr>
            <w:tcW w:w="3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movimentacoes_lst.aspx.cs:40-41 e 45-49</w:t>
            </w:r>
          </w:p>
        </w:tc>
      </w:tr>
      <w:tr>
        <w:trPr>
          <w:cantSplit/>
        </w:trPr>
        <w:tc>
          <w:tcPr>
            <w:tcW w:w="18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/ Excel</w:t>
            </w:r>
          </w:p>
        </w:tc>
        <w:tc>
          <w:tcPr>
            <w:tcW w:w="19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pesquisa com resultado, para quem tem a função de imprimir</w:t>
            </w:r>
          </w:p>
        </w:tc>
        <w:tc>
          <w:tcPr>
            <w:tcW w:w="19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Relatório e planilha da lista</w:t>
            </w:r>
          </w:p>
        </w:tc>
        <w:tc>
          <w:tcPr>
            <w:tcW w:w="3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movimentacoes_lst.aspx.cs:97-98 e 266-300</w:t>
            </w:r>
          </w:p>
        </w:tc>
      </w:tr>
      <w:tr>
        <w:trPr>
          <w:cantSplit/>
        </w:trPr>
        <w:tc>
          <w:tcPr>
            <w:tcW w:w="18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 (formulário)</w:t>
            </w:r>
          </w:p>
        </w:tc>
        <w:tc>
          <w:tcPr>
            <w:tcW w:w="19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Antes de escolher o lote</w:t>
            </w:r>
          </w:p>
        </w:tc>
        <w:tc>
          <w:tcPr>
            <w:tcW w:w="19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Acha o lote, confere o saldo e libera os campos</w:t>
            </w:r>
          </w:p>
        </w:tc>
        <w:tc>
          <w:tcPr>
            <w:tcW w:w="3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movimentacoes_ed.aspx.cs:373-437</w:t>
            </w:r>
          </w:p>
        </w:tc>
      </w:tr>
      <w:tr>
        <w:trPr>
          <w:cantSplit/>
        </w:trPr>
        <w:tc>
          <w:tcPr>
            <w:tcW w:w="18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LIMPAR (formulário)</w:t>
            </w:r>
          </w:p>
        </w:tc>
        <w:tc>
          <w:tcPr>
            <w:tcW w:w="19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pesquisar</w:t>
            </w:r>
          </w:p>
        </w:tc>
        <w:tc>
          <w:tcPr>
            <w:tcW w:w="19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Esvazia e volta ao início</w:t>
            </w:r>
          </w:p>
        </w:tc>
        <w:tc>
          <w:tcPr>
            <w:tcW w:w="3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movimentacoes_ed.aspx.cs:439-457</w:t>
            </w:r>
          </w:p>
        </w:tc>
      </w:tr>
      <w:tr>
        <w:trPr>
          <w:cantSplit/>
        </w:trPr>
        <w:tc>
          <w:tcPr>
            <w:tcW w:w="18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FINALIZAR</w:t>
            </w:r>
          </w:p>
        </w:tc>
        <w:tc>
          <w:tcPr>
            <w:tcW w:w="19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pesquisar o lote</w:t>
            </w:r>
          </w:p>
        </w:tc>
        <w:tc>
          <w:tcPr>
            <w:tcW w:w="19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Pede confirmação e grava</w:t>
            </w:r>
          </w:p>
        </w:tc>
        <w:tc>
          <w:tcPr>
            <w:tcW w:w="3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movimentacoes_ed.aspx.cs:124-245</w:t>
            </w:r>
          </w:p>
        </w:tc>
      </w:tr>
      <w:tr>
        <w:trPr>
          <w:cantSplit/>
        </w:trPr>
        <w:tc>
          <w:tcPr>
            <w:tcW w:w="18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VOLTAR</w:t>
            </w:r>
          </w:p>
        </w:tc>
        <w:tc>
          <w:tcPr>
            <w:tcW w:w="19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19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 para a lista</w:t>
            </w:r>
          </w:p>
        </w:tc>
        <w:tc>
          <w:tcPr>
            <w:tcW w:w="3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movimentacoes_ed.aspx.cs:119-122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MENSAGENS DO SISTEMA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836"/>
        <w:gridCol w:w="2808"/>
        <w:gridCol w:w="3987"/>
      </w:tblGrid>
      <w:tr>
        <w:trPr>
          <w:tblHeader/>
          <w:cantSplit/>
        </w:trPr>
        <w:tc>
          <w:tcPr>
            <w:tcW w:w="283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Mensagem (texto exato do código)</w:t>
            </w:r>
          </w:p>
        </w:tc>
        <w:tc>
          <w:tcPr>
            <w:tcW w:w="280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398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8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pesquisa não retornou nenhum resultado.</w:t>
            </w:r>
          </w:p>
        </w:tc>
        <w:tc>
          <w:tcPr>
            <w:tcW w:w="2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vazia</w:t>
            </w:r>
          </w:p>
        </w:tc>
        <w:tc>
          <w:tcPr>
            <w:tcW w:w="39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movimentacoes_lst.aspx.cs:113</w:t>
            </w:r>
          </w:p>
        </w:tc>
      </w:tr>
      <w:tr>
        <w:trPr>
          <w:cantSplit/>
        </w:trPr>
        <w:tc>
          <w:tcPr>
            <w:tcW w:w="28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 de entrada não informado!</w:t>
            </w:r>
          </w:p>
        </w:tc>
        <w:tc>
          <w:tcPr>
            <w:tcW w:w="2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 sem o número</w:t>
            </w:r>
          </w:p>
        </w:tc>
        <w:tc>
          <w:tcPr>
            <w:tcW w:w="39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movimentacoes_ed.aspx.cs:380</w:t>
            </w:r>
          </w:p>
        </w:tc>
      </w:tr>
      <w:tr>
        <w:trPr>
          <w:cantSplit/>
        </w:trPr>
        <w:tc>
          <w:tcPr>
            <w:tcW w:w="28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 não encontrado! / Saldo do Lote não encontrado!</w:t>
            </w:r>
          </w:p>
        </w:tc>
        <w:tc>
          <w:tcPr>
            <w:tcW w:w="2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Número sem lote ou lote sem saldo calculado</w:t>
            </w:r>
          </w:p>
        </w:tc>
        <w:tc>
          <w:tcPr>
            <w:tcW w:w="39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movimentacoes_ed.aspx.cs:385 e 392</w:t>
            </w:r>
          </w:p>
        </w:tc>
      </w:tr>
      <w:tr>
        <w:trPr>
          <w:cantSplit/>
        </w:trPr>
        <w:tc>
          <w:tcPr>
            <w:tcW w:w="28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 não possui saldo regulatório</w:t>
            </w:r>
          </w:p>
        </w:tc>
        <w:tc>
          <w:tcPr>
            <w:tcW w:w="2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Saída sem saldo de retenção, referência ou estabilidade</w:t>
            </w:r>
          </w:p>
        </w:tc>
        <w:tc>
          <w:tcPr>
            <w:tcW w:w="39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movimentacoes_ed.aspx.cs:395</w:t>
            </w:r>
          </w:p>
        </w:tc>
      </w:tr>
      <w:tr>
        <w:trPr>
          <w:cantSplit/>
        </w:trPr>
        <w:tc>
          <w:tcPr>
            <w:tcW w:w="28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 não possui saldo disponível para movimentação</w:t>
            </w:r>
          </w:p>
        </w:tc>
        <w:tc>
          <w:tcPr>
            <w:tcW w:w="2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Pensada para a movimentação interna; a condição do código nunca é verdadeira</w:t>
            </w:r>
          </w:p>
        </w:tc>
        <w:tc>
          <w:tcPr>
            <w:tcW w:w="39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movimentacoes_ed.aspx.cs:397-398</w:t>
            </w:r>
          </w:p>
        </w:tc>
      </w:tr>
      <w:tr>
        <w:trPr>
          <w:cantSplit/>
        </w:trPr>
        <w:tc>
          <w:tcPr>
            <w:tcW w:w="28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Endereço de Origem inválido! / Endereço de destino inválido</w:t>
            </w:r>
          </w:p>
        </w:tc>
        <w:tc>
          <w:tcPr>
            <w:tcW w:w="2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Origem ou destino não escolhido</w:t>
            </w:r>
          </w:p>
        </w:tc>
        <w:tc>
          <w:tcPr>
            <w:tcW w:w="39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movimentacoes_ed.aspx.cs:147-153</w:t>
            </w:r>
          </w:p>
        </w:tc>
      </w:tr>
      <w:tr>
        <w:trPr>
          <w:cantSplit/>
        </w:trPr>
        <w:tc>
          <w:tcPr>
            <w:tcW w:w="28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Quantidade disponível incorreta! / Quantidade movimentada incorreta!</w:t>
            </w:r>
          </w:p>
        </w:tc>
        <w:tc>
          <w:tcPr>
            <w:tcW w:w="2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Disponível zero ou quantidade zero</w:t>
            </w:r>
          </w:p>
        </w:tc>
        <w:tc>
          <w:tcPr>
            <w:tcW w:w="39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movimentacoes_ed.aspx.cs:156-160</w:t>
            </w:r>
          </w:p>
        </w:tc>
      </w:tr>
      <w:tr>
        <w:trPr>
          <w:cantSplit/>
        </w:trPr>
        <w:tc>
          <w:tcPr>
            <w:tcW w:w="28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Quantidade movimentada não pode ser superior a quantidade disponível!</w:t>
            </w:r>
          </w:p>
        </w:tc>
        <w:tc>
          <w:tcPr>
            <w:tcW w:w="2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Movimentar mais do que há na origem (vista em teste: CT-EST-174, 22/10/2026, rodada 10)</w:t>
            </w:r>
          </w:p>
        </w:tc>
        <w:tc>
          <w:tcPr>
            <w:tcW w:w="39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movimentacoes_ed.aspx.cs:163</w:t>
            </w:r>
          </w:p>
        </w:tc>
      </w:tr>
      <w:tr>
        <w:trPr>
          <w:cantSplit/>
        </w:trPr>
        <w:tc>
          <w:tcPr>
            <w:tcW w:w="28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Nenhuma análise foi encontrada para o lote!</w:t>
            </w:r>
          </w:p>
        </w:tc>
        <w:tc>
          <w:tcPr>
            <w:tcW w:w="2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 sem nenhuma análise do CQ</w:t>
            </w:r>
          </w:p>
        </w:tc>
        <w:tc>
          <w:tcPr>
            <w:tcW w:w="39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movimentacoes_ed.aspx.cs:168</w:t>
            </w:r>
          </w:p>
        </w:tc>
      </w:tr>
      <w:tr>
        <w:trPr>
          <w:cantSplit/>
        </w:trPr>
        <w:tc>
          <w:tcPr>
            <w:tcW w:w="28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Deseja finalizar a movimentação?</w:t>
            </w:r>
          </w:p>
        </w:tc>
        <w:tc>
          <w:tcPr>
            <w:tcW w:w="2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Confirmação ao clicar em FINALIZAR (vista em teste: CT-EST-176)</w:t>
            </w:r>
          </w:p>
        </w:tc>
        <w:tc>
          <w:tcPr>
            <w:tcW w:w="39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movimentacoes_ed.aspx.cs:805</w:t>
            </w:r>
          </w:p>
        </w:tc>
      </w:tr>
      <w:tr>
        <w:trPr>
          <w:cantSplit/>
        </w:trPr>
        <w:tc>
          <w:tcPr>
            <w:tcW w:w="28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Movimentação finalizada!</w:t>
            </w:r>
          </w:p>
        </w:tc>
        <w:tc>
          <w:tcPr>
            <w:tcW w:w="2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Operação gravada (vista em teste: CT-EST-171, 172, 174 e 176)</w:t>
            </w:r>
          </w:p>
        </w:tc>
        <w:tc>
          <w:tcPr>
            <w:tcW w:w="39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movimentacoes_ed.aspx.cs:245</w:t>
            </w:r>
          </w:p>
        </w:tc>
      </w:tr>
      <w:tr>
        <w:trPr>
          <w:cantSplit/>
        </w:trPr>
        <w:tc>
          <w:tcPr>
            <w:tcW w:w="28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Object reference not set to an instance of an object.</w:t>
            </w:r>
          </w:p>
        </w:tc>
        <w:tc>
          <w:tcPr>
            <w:tcW w:w="2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Saída com o lote TESTEPA001: erro técnico mostrado ao usuário (CT-EST-176, rodada 9; DV-EST-047)</w:t>
            </w:r>
          </w:p>
        </w:tc>
        <w:tc>
          <w:tcPr>
            <w:tcW w:w="39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Mensagem do servidor, causa não localizada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Movimentações: Manual do usuário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Movimentações: Manual do usuário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