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Estoque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Movimentações: Regras de negócio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23/10/2026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REGRAS DE NEGÓCIO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As regras de acesso estão na seção de segurança. Ids RN-EST-nnn vêm de </w:t>
      </w:r>
      <w:r>
        <w:rPr>
          <w:szCs w:val="20"/>
        </w:rPr>
        <w:t xml:space="preserve">entregaveis/fonte/regras-de-negocio.md</w:t>
      </w:r>
      <w:r>
        <w:rPr>
          <w:szCs w:val="20"/>
        </w:rPr>
        <w:t xml:space="preserve">; RN-EST-REG02-nnn são novas, desta página. A situação de cada regra vem dos testes citados.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942"/>
        <w:gridCol w:w="2034"/>
        <w:gridCol w:w="3275"/>
        <w:gridCol w:w="2380"/>
      </w:tblGrid>
      <w:tr>
        <w:trPr>
          <w:tblHeader/>
          <w:cantSplit/>
        </w:trPr>
        <w:tc>
          <w:tcPr>
            <w:tcW w:w="194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ID</w:t>
            </w:r>
          </w:p>
        </w:tc>
        <w:tc>
          <w:tcPr>
            <w:tcW w:w="203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Regra</w:t>
            </w:r>
          </w:p>
        </w:tc>
        <w:tc>
          <w:tcPr>
            <w:tcW w:w="327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  <w:tc>
          <w:tcPr>
            <w:tcW w:w="238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</w:tr>
      <w:tr>
        <w:trPr>
          <w:cantSplit/>
        </w:trPr>
        <w:tc>
          <w:tcPr>
            <w:tcW w:w="19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RN-EST-167</w:t>
            </w:r>
          </w:p>
        </w:tc>
        <w:tc>
          <w:tcPr>
            <w:tcW w:w="20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tipo da reserva vem do tipo de movimentação (entrada de referência, de retenção ou de estabilidade).</w:t>
            </w:r>
          </w:p>
        </w:tc>
        <w:tc>
          <w:tcPr>
            <w:tcW w:w="32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movimentacoes_ed.aspx.cs:507-512</w:t>
            </w:r>
          </w:p>
        </w:tc>
        <w:tc>
          <w:tcPr>
            <w:tcW w:w="23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(CT-EST-171, 13/10/2026): Entrada - Retenção gravou e o saldo ficou no endereço de retenção; CT-EST-172 (22/10/2026): Entrada - Estabilidade aceita</w:t>
            </w:r>
          </w:p>
        </w:tc>
      </w:tr>
      <w:tr>
        <w:trPr>
          <w:cantSplit/>
        </w:trPr>
        <w:tc>
          <w:tcPr>
            <w:tcW w:w="19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RN-EST-168</w:t>
            </w:r>
          </w:p>
        </w:tc>
        <w:tc>
          <w:tcPr>
            <w:tcW w:w="20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Amostra de estabilidade exige o tipo de estabilidade e abre o acompanhamento no CQ.</w:t>
            </w:r>
          </w:p>
        </w:tc>
        <w:tc>
          <w:tcPr>
            <w:tcW w:w="32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movimentacao_almox_cq_ed.aspx.cs:176-237 (outra tela)</w:t>
            </w:r>
          </w:p>
        </w:tc>
        <w:tc>
          <w:tcPr>
            <w:tcW w:w="23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Contradita nesta tela</w:t>
            </w:r>
            <w:r>
              <w:rPr>
                <w:sz w:val="18"/>
                <w:szCs w:val="20"/>
              </w:rPr>
              <w:t xml:space="preserve"> (CT-EST-172 e 173, 22/10/2026): a Entrada - Estabilidade foi aceita sem pedir o tipo e sem abrir o acompanhamento (DV-EST-071 e 074)</w:t>
            </w:r>
          </w:p>
        </w:tc>
      </w:tr>
      <w:tr>
        <w:trPr>
          <w:cantSplit/>
        </w:trPr>
        <w:tc>
          <w:tcPr>
            <w:tcW w:w="19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RN-EST-169</w:t>
            </w:r>
          </w:p>
        </w:tc>
        <w:tc>
          <w:tcPr>
            <w:tcW w:w="20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quantidade movimentada não pode passar da disponível e os endereços de origem e destino precisam ser válidos.</w:t>
            </w:r>
          </w:p>
        </w:tc>
        <w:tc>
          <w:tcPr>
            <w:tcW w:w="32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movimentacoes_ed.aspx.cs:147-163</w:t>
            </w:r>
          </w:p>
        </w:tc>
        <w:tc>
          <w:tcPr>
            <w:tcW w:w="23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em parte (CT-EST-174, 22/10/2026): Entrada - Estabilidade de 999 com 22 disponíveis foi recusada. No lote TESTEPA001 a origem não lista endereço (DV-EST-047)</w:t>
            </w:r>
          </w:p>
        </w:tc>
      </w:tr>
      <w:tr>
        <w:trPr>
          <w:cantSplit/>
        </w:trPr>
        <w:tc>
          <w:tcPr>
            <w:tcW w:w="19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RN-EST-170</w:t>
            </w:r>
          </w:p>
        </w:tc>
        <w:tc>
          <w:tcPr>
            <w:tcW w:w="20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saída baixa o saldo da amostra, com justificativa.</w:t>
            </w:r>
          </w:p>
        </w:tc>
        <w:tc>
          <w:tcPr>
            <w:tcW w:w="32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movimentacoes_ed.aspx.cs:195-241</w:t>
            </w:r>
          </w:p>
        </w:tc>
        <w:tc>
          <w:tcPr>
            <w:tcW w:w="23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em parte (CT-EST-176 e 177, 22/10/2026): a saída baixa o saldo e aparece no histórico; </w:t>
            </w:r>
            <w:r>
              <w:rPr>
                <w:sz w:val="18"/>
                <w:b/>
                <w:bCs/>
                <w:szCs w:val="20"/>
              </w:rPr>
              <w:t xml:space="preserve">finaliza sem justificativa e sem aviso do prazo de guarda</w:t>
            </w:r>
            <w:r>
              <w:rPr>
                <w:sz w:val="18"/>
                <w:szCs w:val="20"/>
              </w:rPr>
              <w:t xml:space="preserve"> (DV-EST-068), com custo 0,00</w:t>
            </w:r>
          </w:p>
        </w:tc>
      </w:tr>
      <w:tr>
        <w:trPr>
          <w:cantSplit/>
        </w:trPr>
        <w:tc>
          <w:tcPr>
            <w:tcW w:w="19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RN-EST-REG02-001</w:t>
            </w:r>
          </w:p>
        </w:tc>
        <w:tc>
          <w:tcPr>
            <w:tcW w:w="20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página faz três operações: Entrada (amostra manual), Saída e Movimentação interna; o tipo de movimentação oferecido depende da operação e só inclui os tipos de reserva (e a Transferência).</w:t>
            </w:r>
          </w:p>
        </w:tc>
        <w:tc>
          <w:tcPr>
            <w:tcW w:w="32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movimentacoes_ed.aspx:53-61; movimentacoes_ed.aspx.cs:480-496</w:t>
            </w:r>
          </w:p>
        </w:tc>
        <w:tc>
          <w:tcPr>
            <w:tcW w:w="23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em parte: CT-EST-171, 172, 174 e 176 viram entrada e saída; a movimentação interna não</w:t>
            </w:r>
          </w:p>
        </w:tc>
      </w:tr>
      <w:tr>
        <w:trPr>
          <w:cantSplit/>
        </w:trPr>
        <w:tc>
          <w:tcPr>
            <w:tcW w:w="19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RN-EST-REG02-002</w:t>
            </w:r>
          </w:p>
        </w:tc>
        <w:tc>
          <w:tcPr>
            <w:tcW w:w="20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PESQUISAR usa o primeiro lote com o item de entrada digitado e exige saldo regulatório maior que zero para a Saída. A conferência de saldo disponível da movimentação interna nunca dispara (a condição é impossível).</w:t>
            </w:r>
          </w:p>
        </w:tc>
        <w:tc>
          <w:tcPr>
            <w:tcW w:w="32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movimentacoes_ed.aspx.cs:379-398</w:t>
            </w:r>
          </w:p>
        </w:tc>
        <w:tc>
          <w:tcPr>
            <w:tcW w:w="23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Extraída; ponto para validar (CT-EST-REG02-03 e 05)</w:t>
            </w:r>
          </w:p>
        </w:tc>
      </w:tr>
      <w:tr>
        <w:trPr>
          <w:cantSplit/>
        </w:trPr>
        <w:tc>
          <w:tcPr>
            <w:tcW w:w="19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RN-EST-REG02-003</w:t>
            </w:r>
          </w:p>
        </w:tc>
        <w:tc>
          <w:tcPr>
            <w:tcW w:w="20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origem da Entrada são os endereços do lote com saldo fora da quarentena e fora de almoxarifado especial; a da Saída são os endereços do lote no almoxarifado do tipo. O endereço padrão do local pode aparecer como origem.</w:t>
            </w:r>
          </w:p>
        </w:tc>
        <w:tc>
          <w:tcPr>
            <w:tcW w:w="32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movimentacoes_ed.aspx.cs:498-541; ItemLoteEnderecoRepositorio.cs:10-38; RegulatorioReservaServico.cs:415-453</w:t>
            </w:r>
          </w:p>
        </w:tc>
        <w:tc>
          <w:tcPr>
            <w:tcW w:w="23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em parte: CT-EST-176 (rodada 10) lista </w:t>
            </w:r>
            <w:r>
              <w:rPr>
                <w:sz w:val="18"/>
                <w:szCs w:val="20"/>
              </w:rPr>
              <w:t xml:space="preserve">L907-R001-C001-A001</w:t>
            </w:r>
            <w:r>
              <w:rPr>
                <w:sz w:val="18"/>
                <w:szCs w:val="20"/>
              </w:rPr>
              <w:t xml:space="preserve"> para a Saída; DV-EST-044 viu </w:t>
            </w:r>
            <w:r>
              <w:rPr>
                <w:sz w:val="18"/>
                <w:szCs w:val="20"/>
              </w:rPr>
              <w:t xml:space="preserve">L905-R000-C000-A000</w:t>
            </w:r>
            <w:r>
              <w:rPr>
                <w:sz w:val="18"/>
                <w:szCs w:val="20"/>
              </w:rPr>
              <w:t xml:space="preserve"> como origem</w:t>
            </w:r>
          </w:p>
        </w:tc>
      </w:tr>
      <w:tr>
        <w:trPr>
          <w:cantSplit/>
        </w:trPr>
        <w:tc>
          <w:tcPr>
            <w:tcW w:w="19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RN-EST-REG02-004</w:t>
            </w:r>
          </w:p>
        </w:tc>
        <w:tc>
          <w:tcPr>
            <w:tcW w:w="20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Entrada manual cria a pendência e a finaliza no mesmo ato, ligada à </w:t>
            </w:r>
            <w:r>
              <w:rPr>
                <w:sz w:val="18"/>
                <w:b/>
                <w:bCs/>
                <w:szCs w:val="20"/>
              </w:rPr>
              <w:t xml:space="preserve">última análise do lote, qualquer que seja o resultado</w:t>
            </w:r>
            <w:r>
              <w:rPr>
                <w:sz w:val="18"/>
                <w:szCs w:val="20"/>
              </w:rPr>
              <w:t xml:space="preserve">, sem passar pela aprovação do CQ nem pelo ícone Movimentar; não pede tipo de estabilidade nem abre o acompanhamento.</w:t>
            </w:r>
          </w:p>
        </w:tc>
        <w:tc>
          <w:tcPr>
            <w:tcW w:w="32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movimentacoes_ed.aspx.cs:165-193; RegulatorioReservaServico.cs:455-460</w:t>
            </w:r>
          </w:p>
        </w:tc>
        <w:tc>
          <w:tcPr>
            <w:tcW w:w="23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em parte: CT-EST-172 e 173 (DV-EST-071 e 074); a análise reprovada não foi testada (CT-EST-REG02-04)</w:t>
            </w:r>
          </w:p>
        </w:tc>
      </w:tr>
      <w:tr>
        <w:trPr>
          <w:cantSplit/>
        </w:trPr>
        <w:tc>
          <w:tcPr>
            <w:tcW w:w="19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RN-EST-REG02-005</w:t>
            </w:r>
          </w:p>
        </w:tc>
        <w:tc>
          <w:tcPr>
            <w:tcW w:w="20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Saída grava uma linha de saída no endereço de origem, com custo zero; não pede justificativa, não confere validade nem prazo de guarda, não registra o destino da amostra (consumo, descarte) e não se liga à pendência.</w:t>
            </w:r>
          </w:p>
        </w:tc>
        <w:tc>
          <w:tcPr>
            <w:tcW w:w="32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movimentacoes_ed.aspx.cs:195-221</w:t>
            </w:r>
          </w:p>
        </w:tc>
        <w:tc>
          <w:tcPr>
            <w:tcW w:w="23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Validada: CT-EST-176 (22/10/2026), saída de lote de 22/10/2027 aceita sem aviso (DV-EST-068); CT-EST-177: custo 0,00</w:t>
            </w:r>
          </w:p>
        </w:tc>
      </w:tr>
      <w:tr>
        <w:trPr>
          <w:cantSplit/>
        </w:trPr>
        <w:tc>
          <w:tcPr>
            <w:tcW w:w="19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RN-EST-REG02-006</w:t>
            </w:r>
          </w:p>
        </w:tc>
        <w:tc>
          <w:tcPr>
            <w:tcW w:w="20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Todas as operações exigem que o lote tenha ao menos uma análise do CQ.</w:t>
            </w:r>
          </w:p>
        </w:tc>
        <w:tc>
          <w:tcPr>
            <w:tcW w:w="32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movimentacoes_ed.aspx.cs:165-168</w:t>
            </w:r>
          </w:p>
        </w:tc>
        <w:tc>
          <w:tcPr>
            <w:tcW w:w="23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9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RN-EST-REG02-007</w:t>
            </w:r>
          </w:p>
        </w:tc>
        <w:tc>
          <w:tcPr>
            <w:tcW w:w="20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Observação é digitada e </w:t>
            </w:r>
            <w:r>
              <w:rPr>
                <w:sz w:val="18"/>
                <w:b/>
                <w:bCs/>
                <w:szCs w:val="20"/>
              </w:rPr>
              <w:t xml:space="preserve">não é gravada</w:t>
            </w:r>
            <w:r>
              <w:rPr>
                <w:sz w:val="18"/>
                <w:szCs w:val="20"/>
              </w:rPr>
              <w:t xml:space="preserve">: a tela não a passa para a movimentação.</w:t>
            </w:r>
          </w:p>
        </w:tc>
        <w:tc>
          <w:tcPr>
            <w:tcW w:w="32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movimentacoes_ed.aspx.cs:197-241; movimentacoes_ed.aspx:134</w:t>
            </w:r>
          </w:p>
        </w:tc>
        <w:tc>
          <w:tcPr>
            <w:tcW w:w="23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Extraída; ponto para validar (CT-EST-REG02-07)</w:t>
            </w:r>
          </w:p>
        </w:tc>
      </w:tr>
      <w:tr>
        <w:trPr>
          <w:cantSplit/>
        </w:trPr>
        <w:tc>
          <w:tcPr>
            <w:tcW w:w="19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RN-EST-REG02-008</w:t>
            </w:r>
          </w:p>
        </w:tc>
        <w:tc>
          <w:tcPr>
            <w:tcW w:w="20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lista mostra movimentações de entrada, saída e transferência regulatórias do que o usuário pode ver; para uma movimentação de várias linhas mostra só a primeira entrada e a primeira saída.</w:t>
            </w:r>
          </w:p>
        </w:tc>
        <w:tc>
          <w:tcPr>
            <w:tcW w:w="32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RegulatorioReservaServico.cs:287-352</w:t>
            </w:r>
          </w:p>
        </w:tc>
        <w:tc>
          <w:tcPr>
            <w:tcW w:w="23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Extraída; ponto para validar (CT-EST-REG02-08)</w:t>
            </w:r>
          </w:p>
        </w:tc>
      </w:tr>
      <w:tr>
        <w:trPr>
          <w:cantSplit/>
        </w:trPr>
        <w:tc>
          <w:tcPr>
            <w:tcW w:w="19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RN-EST-REG02-009</w:t>
            </w:r>
          </w:p>
        </w:tc>
        <w:tc>
          <w:tcPr>
            <w:tcW w:w="20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lista não tem ícone de abrir nem de log: o código está comentado. A tela não grava log de alteração.</w:t>
            </w:r>
          </w:p>
        </w:tc>
        <w:tc>
          <w:tcPr>
            <w:tcW w:w="32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movimentacoes_lst.aspx.cs:161-193</w:t>
            </w:r>
          </w:p>
        </w:tc>
        <w:tc>
          <w:tcPr>
            <w:tcW w:w="23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9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RN-EST-REG02-010</w:t>
            </w:r>
          </w:p>
        </w:tc>
        <w:tc>
          <w:tcPr>
            <w:tcW w:w="20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Nenhuma operação pede segunda pessoa; o banco não impede saldo negativo, então duas abas podem somar mais do que o saldo.</w:t>
            </w:r>
          </w:p>
        </w:tc>
        <w:tc>
          <w:tcPr>
            <w:tcW w:w="32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movimentacoes_ed.aspx.cs:129-245; TBL_MOVIMENTACAO_ITEM.sql:105-113</w:t>
            </w:r>
          </w:p>
        </w:tc>
        <w:tc>
          <w:tcPr>
            <w:tcW w:w="23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Extraída; ponto para validar (CT-EST-REG02-09)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CASOS DE TESTE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Resultados dos testes de tela de 13/10 e 22/10/2026 (</w:t>
      </w:r>
      <w:r>
        <w:rPr>
          <w:szCs w:val="20"/>
        </w:rPr>
        <w:t xml:space="preserve">execucao/*/resultado.md</w:t>
      </w:r>
      <w:r>
        <w:rPr>
          <w:szCs w:val="20"/>
        </w:rPr>
        <w:t xml:space="preserve">). O plano de testes é o </w:t>
      </w:r>
      <w:r>
        <w:rPr>
          <w:szCs w:val="20"/>
        </w:rPr>
        <w:t xml:space="preserve">08-plano-de-testes.md</w:t>
      </w:r>
      <w:r>
        <w:rPr>
          <w:szCs w:val="20"/>
        </w:rPr>
        <w:t xml:space="preserve">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Casos do plano e das rodadas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479"/>
        <w:gridCol w:w="2662"/>
        <w:gridCol w:w="5490"/>
      </w:tblGrid>
      <w:tr>
        <w:trPr>
          <w:tblHeader/>
          <w:cantSplit/>
        </w:trPr>
        <w:tc>
          <w:tcPr>
            <w:tcW w:w="147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266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verifica</w:t>
            </w:r>
          </w:p>
        </w:tc>
        <w:tc>
          <w:tcPr>
            <w:tcW w:w="549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Resultado, defeito e data</w:t>
            </w:r>
          </w:p>
        </w:tc>
      </w:tr>
      <w:tr>
        <w:trPr>
          <w:cantSplit/>
        </w:trPr>
        <w:tc>
          <w:tcPr>
            <w:tcW w:w="14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CT-EST-176</w:t>
            </w:r>
          </w:p>
        </w:tc>
        <w:tc>
          <w:tcPr>
            <w:tcW w:w="26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Saída da amostra de retenção antes do vencimento do lote</w:t>
            </w:r>
            <w:r>
              <w:rPr>
                <w:sz w:val="18"/>
                <w:szCs w:val="20"/>
              </w:rPr>
              <w:t xml:space="preserve"> (pela norma, deveria impedir ou alertar)</w:t>
            </w:r>
          </w:p>
        </w:tc>
        <w:tc>
          <w:tcPr>
            <w:tcW w:w="54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Falhou</w:t>
            </w:r>
            <w:r>
              <w:rPr>
                <w:sz w:val="18"/>
                <w:szCs w:val="20"/>
              </w:rPr>
              <w:t xml:space="preserve">, DV-EST-068, 22/10/2026 (rodada 10): Saída - Retenção de 1 un. do lote TESTEPA010 (validade 22/10/2027): "Deseja finalizar a movimentação?" e "Movimentação finalizada!", sem aviso, impedimento nem justificativa. Antes: Bloqueado, 13/10/2026 (rodada 7) e 22/10/2026 (rodada 9): origem só com "SELECIONE" e "Object reference not set to an instance of an object." (DV-EST-047), que é específico do lote TESTEPA001</w:t>
            </w:r>
          </w:p>
        </w:tc>
      </w:tr>
      <w:tr>
        <w:trPr>
          <w:cantSplit/>
        </w:trPr>
        <w:tc>
          <w:tcPr>
            <w:tcW w:w="14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CT-EST-174</w:t>
            </w:r>
          </w:p>
        </w:tc>
        <w:tc>
          <w:tcPr>
            <w:tcW w:w="26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Movimentar quantidade maior que a disponível</w:t>
            </w:r>
          </w:p>
        </w:tc>
        <w:tc>
          <w:tcPr>
            <w:tcW w:w="54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Passou</w:t>
            </w:r>
            <w:r>
              <w:rPr>
                <w:sz w:val="18"/>
                <w:szCs w:val="20"/>
              </w:rPr>
              <w:t xml:space="preserve">, 22/10/2026 (rodada 10): Entrada - Estabilidade de 999 com 22 disponíveis: "Quantidade movimentada não pode ser superior a quantidade disponível!". Antes: Bloqueado (rodada 9, DV-EST-066)</w:t>
            </w:r>
          </w:p>
        </w:tc>
      </w:tr>
      <w:tr>
        <w:trPr>
          <w:cantSplit/>
        </w:trPr>
        <w:tc>
          <w:tcPr>
            <w:tcW w:w="14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CT-EST-172</w:t>
            </w:r>
          </w:p>
        </w:tc>
        <w:tc>
          <w:tcPr>
            <w:tcW w:w="26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Entrada de estabilidade sem tipo: recusa "É necessário informar um tipo de estabilidade!"</w:t>
            </w:r>
          </w:p>
        </w:tc>
        <w:tc>
          <w:tcPr>
            <w:tcW w:w="54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Falhou</w:t>
            </w:r>
            <w:r>
              <w:rPr>
                <w:sz w:val="18"/>
                <w:szCs w:val="20"/>
              </w:rPr>
              <w:t xml:space="preserve"> na rodada 10 (22/10/2026), nesta tela: a Entrada - Estabilidade foi aceita, sem campo de tipo (DV-EST-071). Na rodada 11, o caso passou a </w:t>
            </w:r>
            <w:r>
              <w:rPr>
                <w:sz w:val="18"/>
                <w:b/>
                <w:bCs/>
                <w:szCs w:val="20"/>
              </w:rPr>
              <w:t xml:space="preserve">Bloqueado</w:t>
            </w:r>
            <w:r>
              <w:rPr>
                <w:sz w:val="18"/>
                <w:szCs w:val="20"/>
              </w:rPr>
              <w:t xml:space="preserve">, porque a tela que pede o tipo é a Entrada de Material; o que se viu aqui continua verdadeiro</w:t>
            </w:r>
          </w:p>
        </w:tc>
      </w:tr>
      <w:tr>
        <w:trPr>
          <w:cantSplit/>
        </w:trPr>
        <w:tc>
          <w:tcPr>
            <w:tcW w:w="14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CT-EST-173</w:t>
            </w:r>
          </w:p>
        </w:tc>
        <w:tc>
          <w:tcPr>
            <w:tcW w:w="26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Entrada de estabilidade com tipo: acompanhamento aberto no CQ</w:t>
            </w:r>
          </w:p>
        </w:tc>
        <w:tc>
          <w:tcPr>
            <w:tcW w:w="54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Falhou</w:t>
            </w:r>
            <w:r>
              <w:rPr>
                <w:sz w:val="18"/>
                <w:szCs w:val="20"/>
              </w:rPr>
              <w:t xml:space="preserve">, 22/10/2026 (rodada 11), DV-EST-074 e 075: a entrada manual aqui é aceita e o Acompanhamento Estabilidade do CQ continua vazio</w:t>
            </w:r>
          </w:p>
        </w:tc>
      </w:tr>
      <w:tr>
        <w:trPr>
          <w:cantSplit/>
        </w:trPr>
        <w:tc>
          <w:tcPr>
            <w:tcW w:w="14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CT-EST-171</w:t>
            </w:r>
          </w:p>
        </w:tc>
        <w:tc>
          <w:tcPr>
            <w:tcW w:w="26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Entrada de amostra de retenção do lote</w:t>
            </w:r>
          </w:p>
        </w:tc>
        <w:tc>
          <w:tcPr>
            <w:tcW w:w="54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Passou em parte</w:t>
            </w:r>
            <w:r>
              <w:rPr>
                <w:sz w:val="18"/>
                <w:szCs w:val="20"/>
              </w:rPr>
              <w:t xml:space="preserve">, 13/10/2026 (rodada 7), feito por esta tela: Entrada - Retenção de 5 un. do </w:t>
            </w:r>
            <w:r>
              <w:rPr>
                <w:sz w:val="18"/>
                <w:szCs w:val="20"/>
              </w:rPr>
              <w:t xml:space="preserve">TESTEPA001</w:t>
            </w:r>
            <w:r>
              <w:rPr>
                <w:sz w:val="18"/>
                <w:szCs w:val="20"/>
              </w:rPr>
              <w:t xml:space="preserve"> gravada, saldo disponível caiu de 82 para 77; a amostra não aparecia na consulta (DV-EST-047, explicado em 22/10/2026). O complemento passou na Entrada de Material (rodada 11)</w:t>
            </w:r>
          </w:p>
        </w:tc>
      </w:tr>
      <w:tr>
        <w:trPr>
          <w:cantSplit/>
        </w:trPr>
        <w:tc>
          <w:tcPr>
            <w:tcW w:w="14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CT-EST-177</w:t>
            </w:r>
          </w:p>
        </w:tc>
        <w:tc>
          <w:tcPr>
            <w:tcW w:w="26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Histórico do lote mostra a entrada e a saída da amostra</w:t>
            </w:r>
          </w:p>
        </w:tc>
        <w:tc>
          <w:tcPr>
            <w:tcW w:w="54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Passou com ressalva</w:t>
            </w:r>
            <w:r>
              <w:rPr>
                <w:sz w:val="18"/>
                <w:szCs w:val="20"/>
              </w:rPr>
              <w:t xml:space="preserve">, 22/10/2026 (rodada 10), DV-EST-034: o Histórico do Lote </w:t>
            </w:r>
            <w:r>
              <w:rPr>
                <w:sz w:val="18"/>
                <w:szCs w:val="20"/>
              </w:rPr>
              <w:t xml:space="preserve">TESTEPA010</w:t>
            </w:r>
            <w:r>
              <w:rPr>
                <w:sz w:val="18"/>
                <w:szCs w:val="20"/>
              </w:rPr>
              <w:t xml:space="preserve"> mostra ENTRADA - RETENÇÃO (5), SAÍDA - RETENÇÃO (1) e ENTRADA - ESTABILIDADE (3), com endereço, quantidade e data; sem usuário e sem hora; a saída com custo 0,00. Antes: Bloqueado (rodada 9)</w:t>
            </w:r>
          </w:p>
        </w:tc>
      </w:tr>
      <w:tr>
        <w:trPr>
          <w:cantSplit/>
        </w:trPr>
        <w:tc>
          <w:tcPr>
            <w:tcW w:w="14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CT-EST-175 (uso da tela)</w:t>
            </w:r>
          </w:p>
        </w:tc>
        <w:tc>
          <w:tcPr>
            <w:tcW w:w="26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amostra de retenção não é saldo disponível</w:t>
            </w:r>
          </w:p>
        </w:tc>
        <w:tc>
          <w:tcPr>
            <w:tcW w:w="54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Passou, 22/10/2026 (rodada 10): disponível 25, saldo total 29 (4 retenção e 3 estabilidade fora do disponível); o Atendimento oferece o lote com saldo 25, sem endereços de retenção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Total desta tela: 6 casos específicos (1 Passou, 1 Passou em parte, 1 Passou com ressalva, 2 Falhou e 1 que Falhou na rodada 10 e foi revisado para Bloqueado na rodada 11), mais 1 que a usa. A Entrada de Referência, a Movimentação Interna, a lista, a impressão e o Excel não foram exercitados.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Casos novos propostos (ainda não executados)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Preparação comum: item com a marca de retenção e de referência no cadastro; lotes novos aprovados pelo CQ, um deles com a validade bem distante e outro vencido; almoxarifados dos três tipos com endereços livres; um lote com análise reprovada.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176"/>
        <w:gridCol w:w="1417"/>
        <w:gridCol w:w="3244"/>
        <w:gridCol w:w="2794"/>
      </w:tblGrid>
      <w:tr>
        <w:trPr>
          <w:tblHeader/>
          <w:cantSplit/>
        </w:trPr>
        <w:tc>
          <w:tcPr>
            <w:tcW w:w="217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141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Prioridade</w:t>
            </w:r>
          </w:p>
        </w:tc>
        <w:tc>
          <w:tcPr>
            <w:tcW w:w="324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fazer</w:t>
            </w:r>
          </w:p>
        </w:tc>
        <w:tc>
          <w:tcPr>
            <w:tcW w:w="279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Esperado</w:t>
            </w:r>
          </w:p>
        </w:tc>
      </w:tr>
      <w:tr>
        <w:trPr>
          <w:cantSplit/>
        </w:trPr>
        <w:tc>
          <w:tcPr>
            <w:tcW w:w="21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CT-EST-REG02-01</w:t>
            </w:r>
          </w:p>
        </w:tc>
        <w:tc>
          <w:tcPr>
            <w:tcW w:w="14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32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Saída - Retenção de lote com validade distante, com e sem justificativa</w:t>
            </w:r>
          </w:p>
        </w:tc>
        <w:tc>
          <w:tcPr>
            <w:tcW w:w="27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Pela norma, impedir ou alertar; registrar o que a tela faz (o código indica que aceita)</w:t>
            </w:r>
          </w:p>
        </w:tc>
      </w:tr>
      <w:tr>
        <w:trPr>
          <w:cantSplit/>
        </w:trPr>
        <w:tc>
          <w:tcPr>
            <w:tcW w:w="21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CT-EST-REG02-02</w:t>
            </w:r>
          </w:p>
        </w:tc>
        <w:tc>
          <w:tcPr>
            <w:tcW w:w="14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32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Saída - Retenção de lote já vencido</w:t>
            </w:r>
          </w:p>
        </w:tc>
        <w:tc>
          <w:tcPr>
            <w:tcW w:w="27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Registrar se a tela aceita e o que o Histórico do Lote mostra</w:t>
            </w:r>
          </w:p>
        </w:tc>
      </w:tr>
      <w:tr>
        <w:trPr>
          <w:cantSplit/>
        </w:trPr>
        <w:tc>
          <w:tcPr>
            <w:tcW w:w="21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CT-EST-REG02-03</w:t>
            </w:r>
          </w:p>
        </w:tc>
        <w:tc>
          <w:tcPr>
            <w:tcW w:w="14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32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Saída de lote sem saldo regulatório</w:t>
            </w:r>
          </w:p>
        </w:tc>
        <w:tc>
          <w:tcPr>
            <w:tcW w:w="27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"Lote não possui saldo regulatório"</w:t>
            </w:r>
          </w:p>
        </w:tc>
      </w:tr>
      <w:tr>
        <w:trPr>
          <w:cantSplit/>
        </w:trPr>
        <w:tc>
          <w:tcPr>
            <w:tcW w:w="21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CT-EST-REG02-04</w:t>
            </w:r>
          </w:p>
        </w:tc>
        <w:tc>
          <w:tcPr>
            <w:tcW w:w="14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32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Entrada - Retenção manual de lote com análise reprovada e de lote sem análise aprovada</w:t>
            </w:r>
          </w:p>
        </w:tc>
        <w:tc>
          <w:tcPr>
            <w:tcW w:w="27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Registrar se a tela aceita (o código indica que aceita se houver análise) e se "Nenhuma análise foi encontrada para o lote!" aparece para lote sem análise</w:t>
            </w:r>
          </w:p>
        </w:tc>
      </w:tr>
      <w:tr>
        <w:trPr>
          <w:cantSplit/>
        </w:trPr>
        <w:tc>
          <w:tcPr>
            <w:tcW w:w="21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CT-EST-REG02-05</w:t>
            </w:r>
          </w:p>
        </w:tc>
        <w:tc>
          <w:tcPr>
            <w:tcW w:w="14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32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Movimentação interna entre dois endereços do mesmo almoxarifado e entre dois almoxarifados do tipo; lote sem saldo disponível</w:t>
            </w:r>
          </w:p>
        </w:tc>
        <w:tc>
          <w:tcPr>
            <w:tcW w:w="27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Registrar o resultado e se alguma conferência de saldo aparece</w:t>
            </w:r>
          </w:p>
        </w:tc>
      </w:tr>
      <w:tr>
        <w:trPr>
          <w:cantSplit/>
        </w:trPr>
        <w:tc>
          <w:tcPr>
            <w:tcW w:w="21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CT-EST-REG02-06</w:t>
            </w:r>
          </w:p>
        </w:tc>
        <w:tc>
          <w:tcPr>
            <w:tcW w:w="14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</w:t>
            </w:r>
          </w:p>
        </w:tc>
        <w:tc>
          <w:tcPr>
            <w:tcW w:w="32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Dois lotes com o mesmo número de item de entrada</w:t>
            </w:r>
          </w:p>
        </w:tc>
        <w:tc>
          <w:tcPr>
            <w:tcW w:w="27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Registrar qual lote a tela usa</w:t>
            </w:r>
          </w:p>
        </w:tc>
      </w:tr>
      <w:tr>
        <w:trPr>
          <w:cantSplit/>
        </w:trPr>
        <w:tc>
          <w:tcPr>
            <w:tcW w:w="21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CT-EST-REG02-07</w:t>
            </w:r>
          </w:p>
        </w:tc>
        <w:tc>
          <w:tcPr>
            <w:tcW w:w="14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32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Preencher a Observação e finalizar; procurar o texto em alguma tela</w:t>
            </w:r>
          </w:p>
        </w:tc>
        <w:tc>
          <w:tcPr>
            <w:tcW w:w="27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Registrar se a observação aparece (o código indica que não)</w:t>
            </w:r>
          </w:p>
        </w:tc>
      </w:tr>
      <w:tr>
        <w:trPr>
          <w:cantSplit/>
        </w:trPr>
        <w:tc>
          <w:tcPr>
            <w:tcW w:w="21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CT-EST-REG02-08</w:t>
            </w:r>
          </w:p>
        </w:tc>
        <w:tc>
          <w:tcPr>
            <w:tcW w:w="14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32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Entrada de uma pendência com dois endereços (pela Entrada de Material) e conferir a lista</w:t>
            </w:r>
          </w:p>
        </w:tc>
        <w:tc>
          <w:tcPr>
            <w:tcW w:w="27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Registrar a quantidade mostrada</w:t>
            </w:r>
          </w:p>
        </w:tc>
      </w:tr>
      <w:tr>
        <w:trPr>
          <w:cantSplit/>
        </w:trPr>
        <w:tc>
          <w:tcPr>
            <w:tcW w:w="21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CT-EST-REG02-09</w:t>
            </w:r>
          </w:p>
        </w:tc>
        <w:tc>
          <w:tcPr>
            <w:tcW w:w="14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32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Duas abas na Saída do mesmo endereço, somando mais do que o saldo</w:t>
            </w:r>
          </w:p>
        </w:tc>
        <w:tc>
          <w:tcPr>
            <w:tcW w:w="27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Registrar se as duas gravam e o saldo fica negativo</w:t>
            </w:r>
          </w:p>
        </w:tc>
      </w:tr>
      <w:tr>
        <w:trPr>
          <w:cantSplit/>
        </w:trPr>
        <w:tc>
          <w:tcPr>
            <w:tcW w:w="21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CT-EST-REG02-10</w:t>
            </w:r>
          </w:p>
        </w:tc>
        <w:tc>
          <w:tcPr>
            <w:tcW w:w="14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</w:t>
            </w:r>
          </w:p>
        </w:tc>
        <w:tc>
          <w:tcPr>
            <w:tcW w:w="32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Pesquisar a lista por tipo, item de entrada (parte do número) e período; imprimir e exportar</w:t>
            </w:r>
          </w:p>
        </w:tc>
        <w:tc>
          <w:tcPr>
            <w:tcW w:w="27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lista confere; registrar o formato da data (DV-EST-057)</w:t>
            </w:r>
          </w:p>
        </w:tc>
      </w:tr>
      <w:tr>
        <w:trPr>
          <w:cantSplit/>
        </w:trPr>
        <w:tc>
          <w:tcPr>
            <w:tcW w:w="21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CT-EST-REG02-S1</w:t>
            </w:r>
          </w:p>
        </w:tc>
        <w:tc>
          <w:tcPr>
            <w:tcW w:w="14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32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Caso de segurança, descrito na seção Segurança e acesso</w:t>
            </w:r>
          </w:p>
        </w:tc>
        <w:tc>
          <w:tcPr>
            <w:tcW w:w="27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Ver a seção</w:t>
            </w:r>
          </w:p>
        </w:tc>
      </w:tr>
      <w:tr>
        <w:trPr>
          <w:cantSplit/>
        </w:trPr>
        <w:tc>
          <w:tcPr>
            <w:tcW w:w="21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CT-EST-REG02-S2</w:t>
            </w:r>
          </w:p>
        </w:tc>
        <w:tc>
          <w:tcPr>
            <w:tcW w:w="14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32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Caso de segurança, descrito na seção Segurança e acesso</w:t>
            </w:r>
          </w:p>
        </w:tc>
        <w:tc>
          <w:tcPr>
            <w:tcW w:w="27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Ver a seção</w:t>
            </w:r>
          </w:p>
        </w:tc>
      </w:tr>
    </w:tbl>
    <w:p>
      <w:pPr>
        <w:spacing w:after="0" w:line="360" w:lineRule="auto"/>
      </w:pP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Estoque – Movimentações: Regras de negócio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Estoque – Movimentações: Regras de negócio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