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Menu Regulatório: visão geral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PARA QUE SERVE ESTE MENU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Menu Regulatório</w:t>
      </w:r>
      <w:r>
        <w:rPr>
          <w:szCs w:val="20"/>
        </w:rPr>
        <w:t xml:space="preserve"> do módulo Estoque reúne o almoxarifado do Controle da Qualidade: entrada, movimentação e consulta das amostras de retenção, referência e estabilidade. Esta seção descreve </w:t>
      </w:r>
      <w:r>
        <w:rPr>
          <w:b/>
          <w:bCs/>
          <w:szCs w:val="20"/>
        </w:rPr>
        <w:t xml:space="preserve">cada uma das 3 telas do menu como o sistema entregue as oferece</w:t>
      </w:r>
      <w:r>
        <w:rPr>
          <w:szCs w:val="20"/>
        </w:rPr>
        <w:t xml:space="preserve">, lidas do código e conferidas nas rodadas de teste de tela de 07 a 22/10/2026 (legado).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tela tem a sua página, com o manual do usuário, os campos, os botões, as mensagens, as regras de negócio, o fluxo, as falhas e os casos de teste. Rascunho para revisão: toda afirmação traz a fonte no código ou no teste, e o que ainda não foi visto numa tela real está marcado "A confirmar no teste".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Como ler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 de uma regra: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 (vem do código),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 (confirmada na tela) ou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 (a tela mostrou outra coisa). Situação da tela: Funciona, Funciona com falhas, Falha grave, Bloqueada no teste ou Não testada.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AS 3 TELAS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05"/>
        <w:gridCol w:w="3597"/>
        <w:gridCol w:w="3108"/>
        <w:gridCol w:w="2321"/>
      </w:tblGrid>
      <w:tr>
        <w:trPr>
          <w:tblHeader/>
          <w:cantSplit/>
        </w:trPr>
        <w:tc>
          <w:tcPr>
            <w:tcW w:w="6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 no menu</w:t>
            </w:r>
          </w:p>
        </w:tc>
        <w:tc>
          <w:tcPr>
            <w:tcW w:w="31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Fluxo a que pertence</w:t>
            </w:r>
          </w:p>
        </w:tc>
        <w:tc>
          <w:tcPr>
            <w:tcW w:w="23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3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Material - Regulatório</w:t>
            </w:r>
          </w:p>
        </w:tc>
        <w:tc>
          <w:tcPr>
            <w:tcW w:w="3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 do CQ</w:t>
            </w:r>
          </w:p>
        </w:tc>
        <w:tc>
          <w:tcPr>
            <w:tcW w:w="2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3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Movimentações</w:t>
            </w:r>
          </w:p>
        </w:tc>
        <w:tc>
          <w:tcPr>
            <w:tcW w:w="3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 do CQ</w:t>
            </w:r>
          </w:p>
        </w:tc>
        <w:tc>
          <w:tcPr>
            <w:tcW w:w="2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</w:tr>
      <w:tr>
        <w:trPr>
          <w:cantSplit/>
        </w:trPr>
        <w:tc>
          <w:tcPr>
            <w:tcW w:w="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3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Disponibilidade</w:t>
            </w:r>
          </w:p>
        </w:tc>
        <w:tc>
          <w:tcPr>
            <w:tcW w:w="3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 do CQ</w:t>
            </w:r>
          </w:p>
        </w:tc>
        <w:tc>
          <w:tcPr>
            <w:tcW w:w="2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JÁ SABEMOS SOBRE ESTE MENU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Situação das telas (inventário de 22/10/2026):</w:t>
      </w:r>
      <w:r>
        <w:rPr>
          <w:szCs w:val="20"/>
        </w:rPr>
        <w:t xml:space="preserve"> Funciona com falhas: 2, Falha grave: 1.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Telas "Não testada":</w:t>
      </w:r>
      <w:r>
        <w:rPr>
          <w:szCs w:val="20"/>
        </w:rPr>
        <w:t xml:space="preserve"> o que se diz delas vem só da leitura do código e está marcado como "a confirmar no teste". Cada página de tela traz casos de teste propostos para a próxima rodada.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Acesso:</w:t>
      </w:r>
      <w:r>
        <w:rPr>
          <w:szCs w:val="20"/>
        </w:rPr>
        <w:t xml:space="preserve"> as regras de acesso de cada tela estão na seção "Segurança e acesso" da própria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COMO USAR ESTA SEÇÃO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Escolha a tela na barra lateral. Cada tela tem cinco páginas: </w:t>
      </w:r>
      <w:r>
        <w:rPr>
          <w:b/>
          <w:bCs/>
          <w:szCs w:val="20"/>
        </w:rPr>
        <w:t xml:space="preserve">Análise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Manual do usuário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Fluxos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Regras de negócio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Anvisa</w:t>
      </w:r>
      <w:r>
        <w:rPr>
          <w:szCs w:val="20"/>
        </w:rPr>
        <w:t xml:space="preserve">, cada uma com o Word para baixar; e os botões </w:t>
      </w:r>
      <w:r>
        <w:rPr>
          <w:b/>
          <w:bCs/>
          <w:szCs w:val="20"/>
        </w:rPr>
        <w:t xml:space="preserve">Passo a passo</w:t>
      </w:r>
      <w:r>
        <w:rPr>
          <w:szCs w:val="20"/>
        </w:rPr>
        <w:t xml:space="preserve"> (o fluxo do processo) e </w:t>
      </w:r>
      <w:r>
        <w:rPr>
          <w:b/>
          <w:bCs/>
          <w:szCs w:val="20"/>
        </w:rPr>
        <w:t xml:space="preserve">Ideal</w:t>
      </w:r>
      <w:r>
        <w:rPr>
          <w:szCs w:val="20"/>
        </w:rPr>
        <w:t xml:space="preserve"> (o Estoque ideal).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Menu Regulatório: visão geral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Menu Regulatório: visão geral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