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NMM (RC03):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 (leitura do código; nada foi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o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que quer relatar (a lista traz os tipos ativos da empresa).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Libere janelas abertas pelo sistema no navegador: o relatório abre em outra janela.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Emitir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Relatório de NMM (RC03)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 (obrigatório). Escolha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(a tela vem em JANEIRO; o quinto mês aparece escrito "MAIL", erro de digitação) e digite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com 4 dígitos (não pode ser maior que o ano de hoje).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. Se faltar o tipo, a tela escreve "Tipo de Movimentação é obrigatório!"; se o ano for inválido, "O Ano informado é inválido!".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Na janela nova, o relatório traz o cliente, o título, o usuário, a data e hora e a página ("x de y"), as linhas e o total geral. Use o botão de imprimir do visualizador.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LIMPAR FILTRO</w:t>
      </w:r>
      <w:r>
        <w:rPr>
          <w:szCs w:val="20"/>
        </w:rPr>
        <w:t xml:space="preserve"> volta o tipo para "SELECIONE" e o mês e o ano para os de hoje.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b/>
          <w:bCs/>
          <w:szCs w:val="20"/>
        </w:rPr>
        <w:t xml:space="preserve">NMM</w:t>
      </w:r>
      <w:r>
        <w:rPr>
          <w:szCs w:val="20"/>
        </w:rPr>
        <w:t xml:space="preserve"> é o número da </w:t>
      </w:r>
      <w:r>
        <w:rPr>
          <w:b/>
          <w:bCs/>
          <w:szCs w:val="20"/>
        </w:rPr>
        <w:t xml:space="preserve">linha</w:t>
      </w:r>
      <w:r>
        <w:rPr>
          <w:szCs w:val="20"/>
        </w:rPr>
        <w:t xml:space="preserve"> de movimento, e não o número da nota impressa na lista da Movimentação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colunas TPD, AD, DocOri e OMDoc saem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traz um "Termo de despesa" com texto de outro tipo de organização (ver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1148"/>
        <w:gridCol w:w="1473"/>
        <w:gridCol w:w="2029"/>
        <w:gridCol w:w="3427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 tela confere)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mais os tipos de movimentação ativos da empresa; sem tipo, "Tipo de Movimentação é obrigatório!"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rc03_Nmm.aspx:47-48; rc03_Nmm.aspx.cs:23-34 e 57-58; dalTipoMovimentacao.cs:49-60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JANEIRO a DEZEMBRO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tem valor)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em JANEIRO; o quinto item se chama "MAIL"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rc03_Nmm.aspx:52-66; rc03_Nmm.aspx.cs:19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4 dígitos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 (filtro do navegador); a tela confere se tem 4 caracteres e se não é maior que o ano de hoje; abre vazio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rc03_Nmm.aspx:69-71; rc03_Nmm.aspx.cs:20 e 60-61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grade nem filtro de item, almoxarifado ou período dentro do mês. Nenhum campo grava dado.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(RC03.rdlc)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6"/>
        <w:gridCol w:w="3566"/>
        <w:gridCol w:w="4339"/>
      </w:tblGrid>
      <w:tr>
        <w:trPr>
          <w:tblHeader/>
          <w:cantSplit/>
        </w:trPr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3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 onde vem</w:t>
            </w:r>
          </w:p>
        </w:tc>
        <w:tc>
          <w:tcPr>
            <w:tcW w:w="4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NMM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linha de movimento (ID_MOV_ITEM)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RC03Report.cs:19; dalRelatorio.cs:641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linha de movimento, no formato curto do servidor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RC03Report.cs:20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NEB/NI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RC03Report.cs:21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item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RC03Report.cs:26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CC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conta corrente do item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RC03Report.cs:25; dalRelatorio.cs:645 e 654-655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movimentada, como texto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RC03Report.cs:22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PR_UNIT, PR_TOTAL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gravado na linha e custo × quantidade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RC03Report.cs:23-24; dalRelatorio.cs:647-650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TPD, AD, DocOri, OMDoc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preenchidas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RC03Report.cs:15-34 e 39-42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9"/>
        <w:gridCol w:w="1385"/>
        <w:gridCol w:w="2738"/>
        <w:gridCol w:w="3699"/>
      </w:tblGrid>
      <w:tr>
        <w:trPr>
          <w:tblHeader/>
          <w:cantSplit/>
        </w:trPr>
        <w:tc>
          <w:tcPr>
            <w:tcW w:w="1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tipo e o ano e abre o relatório numa janela nova, com os parâmetros no endereço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rc03_Nmm.aspx:75; rc03_Nmm.aspx.cs:51-67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tipo para "SELECIONE" e o mês e o ano para os de hoje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rc03_Nmm.aspx:78; rc03_Nmm.aspx.cs:43-49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imprimir do visualizador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o relatório (as outras opções do visualizador, como exportar, são as padrão do ReportViewer; a conferir)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 e botões de VISUALIZAR, Imprimir e Excel das outras telas desta pasta: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 com abertura em janela própria.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2"/>
        <w:gridCol w:w="3001"/>
        <w:gridCol w:w="4088"/>
      </w:tblGrid>
      <w:tr>
        <w:trPr>
          <w:tblHeader/>
          <w:cantSplit/>
        </w:trPr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 é obrigatório!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sem tipo escolhido</w:t>
            </w:r>
          </w:p>
        </w:tc>
        <w:tc>
          <w:tcPr>
            <w:tcW w:w="4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rc03_Nmm.aspx.cs:58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informado é inválido!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vazio, com tamanho diferente de 4 ou maior que o ano de hoje</w:t>
            </w:r>
          </w:p>
        </w:tc>
        <w:tc>
          <w:tcPr>
            <w:tcW w:w="4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rc03_Nmm.aspx.cs:61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da consulta, na janela do relatório (a mensagem esconde o motivo; a janela não trata o erro)</w:t>
            </w:r>
          </w:p>
        </w:tc>
        <w:tc>
          <w:tcPr>
            <w:tcW w:w="4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bllRelatorio.cs:129-133; VisualizaRelatorio.aspx.cs:209-228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NMM (RC03):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NMM (RC03):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