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Movimentação Mensal de Vendas de Medicamentos (RM03):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05000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11-relatorio-de-movimentacao-mensal-de-vendas-de-medicamentos-rm03.fluxo.json,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Itens controlados e saídas: há itens marcados como substância controlada (o cadastro novo pode não gravar a marca) e saídas no período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relatório: pelo menu Relatórios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as duas datas: início e fim, obrigatórias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Datas preenchidas? (decisão): o clique recusa data vazia, mas não chama a validação da página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Consultar o banco: saídas não internas de itens controlados no período, com lote, nota fiscal, cliente e endereço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Montar as colunas: código da DCB vazio, nome genérico repetido, unidade no lugar da apresentação, lote interno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Mostrar no visualizador: cabeçalho com endereço, telefone e autorizações em branco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Imprimir, completar e assinar: pelo visualizador; completar à mão o que sai em branco; nada é gravado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FILTRO só esvazia os campos; a janela do relatório pode ser fechada sem consequência; nada é gravado em nenhum ponto do caminho.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situações próprias: o mapa é gerado na hora e não guarda cópia.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Quem emitiu o mapa, quando e para qual período não ficam guardados.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emitiu, quando e para qual período.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número ou versão do mapa; duas emissões do mesmo período não podem ser comparadas depois.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59"/>
        <w:gridCol w:w="2458"/>
        <w:gridCol w:w="1547"/>
        <w:gridCol w:w="3067"/>
      </w:tblGrid>
      <w:tr>
        <w:trPr>
          <w:tblHeader/>
          <w:cantSplit/>
        </w:trPr>
        <w:tc>
          <w:tcPr>
            <w:tcW w:w="25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DATA_MOVIMENTACAO, REFERENCIA, ID_NOTA_FISCAL, ID_SOLICITACAO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Cabeçalho; liga a nota fiscal e a solicitação</w:t>
            </w:r>
          </w:p>
        </w:tc>
        <w:tc>
          <w:tcPr>
            <w:tcW w:w="3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dalRelatorio.cs:1048-1085; TBL_MOVIMENTACAO.sql:4, 6, 15 e 20</w:t>
            </w:r>
          </w:p>
        </w:tc>
      </w:tr>
      <w:tr>
        <w:trPr>
          <w:cantSplit/>
        </w:trPr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ID_MOV_ITEM, QTD_MOVIMENTADA, SAIDA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de saída por item e lote</w:t>
            </w:r>
          </w:p>
        </w:tc>
        <w:tc>
          <w:tcPr>
            <w:tcW w:w="3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dalRelatorio.cs:1041-1090; TBL_MOVIMENTACAO_ITEM.sql:10</w:t>
            </w:r>
          </w:p>
        </w:tc>
      </w:tr>
      <w:tr>
        <w:trPr>
          <w:cantSplit/>
        </w:trPr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 e TBL_ITEM_LOTE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SUBSTANCIA_CONTROLADA, COD_ITEM, NOME_DESCRICAO, ITEM_ENTRADA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controlado e lote</w:t>
            </w:r>
          </w:p>
        </w:tc>
        <w:tc>
          <w:tcPr>
            <w:tcW w:w="3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dalRelatorio.cs:1046-1054; TBL_ITEM.sql:47</w:t>
            </w:r>
          </w:p>
        </w:tc>
      </w:tr>
      <w:tr>
        <w:trPr>
          <w:cantSplit/>
        </w:trPr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IND_INTERNA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 movimentações internas</w:t>
            </w:r>
          </w:p>
        </w:tc>
        <w:tc>
          <w:tcPr>
            <w:tcW w:w="3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dalRelatorio.cs:1089; dml.sql:446-586</w:t>
            </w:r>
          </w:p>
        </w:tc>
      </w:tr>
      <w:tr>
        <w:trPr>
          <w:cantSplit/>
        </w:trPr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TBL_NOTA_FISCAL_ESTOQUE e GBL_PJ (fornecedor e cliente), TBL_SOLICITACAO, TBL_TIPO_SOLICITACAO, TBL_BAIRRO, TBL_MUNICIPIO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Fornecedor, comprador, endereço e tipo da solicitação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Ligações externas; GBL_PJ, TBL_BAIRRO e TBL_MUNICIPIO são sinônimos do banco do Principal</w:t>
            </w:r>
          </w:p>
        </w:tc>
        <w:tc>
          <w:tcPr>
            <w:tcW w:w="3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dalRelatorio.cs:1055-1085; Synonyms/GBL_PJ.sql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 para validar com o DBA:</w:t>
      </w:r>
      <w:r>
        <w:rPr>
          <w:szCs w:val="20"/>
        </w:rPr>
        <w:t xml:space="preserve"> o script de banco do projeto define a tabela TBL_NOTA_FISCAL (Tables/TBL_NOTA_FISCAL.sql), e a consulta lê TBL_NOTA_FISCAL_ESTOQUE (dalRelatorio.cs:1064). O Recebimento funciona no ambiente de teste, então o nome existe no banco real; o projeto de banco está desatualizado.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grava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As datas vão para a consulta já convertidas e formatadas (dalRelatorio.cs:1095-1096).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Movimentação Mensal de Vendas de Medicamentos (RM03):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Movimentação Mensal de Vendas de Medicamentos (RM03):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