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Movimentação Mensal de Vendas de Medicamentos (RM03):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novos desta página: RN-EST-REL11-nnn (relatório sem regra anterior no documento de regras; as regras relacionadas citam o id RN-EST existente). A situação de cada regra vem dos testes citados; onde nenhum teste passou pela tela, a situação é Extraída (vem só do código).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72"/>
        <w:gridCol w:w="3221"/>
        <w:gridCol w:w="3328"/>
        <w:gridCol w:w="1110"/>
      </w:tblGrid>
      <w:tr>
        <w:trPr>
          <w:tblHeader/>
          <w:cantSplit/>
        </w:trPr>
        <w:tc>
          <w:tcPr>
            <w:tcW w:w="19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1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RN-EST-REL11-001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é um período com data inicial e final, ambas obrigatórias. O clique não chama a validação da página (só confere se estão vazias); se o texto não for data, </w:t>
            </w:r>
            <w:r>
              <w:rPr>
                <w:sz w:val="18"/>
                <w:szCs w:val="20"/>
              </w:rPr>
              <w:t xml:space="preserve">TryParse</w:t>
            </w:r>
            <w:r>
              <w:rPr>
                <w:sz w:val="18"/>
                <w:szCs w:val="20"/>
              </w:rPr>
              <w:t xml:space="preserve"> o troca por 01/01/0001 e o relatório falha na consulta.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rm03.aspx.cs:26-44; VisualizaRelatorio.aspx.cs:353-354</w:t>
            </w:r>
          </w:p>
        </w:tc>
        <w:tc>
          <w:tcPr>
            <w:tcW w:w="1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RN-EST-REL11-002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Entram só linhas de </w:t>
            </w:r>
            <w:r>
              <w:rPr>
                <w:sz w:val="18"/>
                <w:b/>
                <w:bCs/>
                <w:szCs w:val="20"/>
              </w:rPr>
              <w:t xml:space="preserve">saída</w:t>
            </w:r>
            <w:r>
              <w:rPr>
                <w:sz w:val="18"/>
                <w:szCs w:val="20"/>
              </w:rPr>
              <w:t xml:space="preserve"> de itens marcados como substância controlada e de tipos de movimentação que não sejam internos. O período vai do início até o fim do último dia.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dalRelatorio.cs:1088-1096</w:t>
            </w:r>
          </w:p>
        </w:tc>
        <w:tc>
          <w:tcPr>
            <w:tcW w:w="1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RN-EST-REL11-003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"Saída" aqui é qualquer saída não interna (saída por nota fiscal, por centro de custo, para produção e outras), não só venda. O título diz "vendas"; ponto para validar com Assuntos Regulatórios o que o mapa deve listar.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dalRelatorio.cs:1088-1090; dml.sql:454-520</w:t>
            </w:r>
          </w:p>
        </w:tc>
        <w:tc>
          <w:tcPr>
            <w:tcW w:w="1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RN-EST-REL11-004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</w:t>
            </w:r>
            <w:r>
              <w:rPr>
                <w:sz w:val="18"/>
                <w:b/>
                <w:bCs/>
                <w:szCs w:val="20"/>
              </w:rPr>
              <w:t xml:space="preserve">inclusão</w:t>
            </w:r>
            <w:r>
              <w:rPr>
                <w:sz w:val="18"/>
                <w:szCs w:val="20"/>
              </w:rPr>
              <w:t xml:space="preserve"> do item, a coluna SUBSTANCIA_CONTROLADA é gravada com o valor do campo "Controle de destruição" e não com o do campo "Substância controlada" (dalItem.cs:119-120); na </w:t>
            </w:r>
            <w:r>
              <w:rPr>
                <w:sz w:val="18"/>
                <w:b/>
                <w:bCs/>
                <w:szCs w:val="20"/>
              </w:rPr>
              <w:t xml:space="preserve">alteração</w:t>
            </w:r>
            <w:r>
              <w:rPr>
                <w:sz w:val="18"/>
                <w:szCs w:val="20"/>
              </w:rPr>
              <w:t xml:space="preserve"> usa o campo certo (dalItem.cs:291). Consequência pelo código: um item novo marcado só como substância controlada entra no cadastro como não controlado e fica fora deste relatório (e do RM14) até ser aberto e salvo de novo; um item marcado só com controle de destruição entra como controlado.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dalItem.cs:119-120 e 291; dalRelatorio.cs:1088</w:t>
            </w:r>
          </w:p>
        </w:tc>
        <w:tc>
          <w:tcPr>
            <w:tcW w:w="1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RN-EST-REL11-005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colunas do mapa são montadas assim: o código da DCB sai </w:t>
            </w:r>
            <w:r>
              <w:rPr>
                <w:sz w:val="18"/>
                <w:b/>
                <w:bCs/>
                <w:szCs w:val="20"/>
              </w:rPr>
              <w:t xml:space="preserve">sempre vazio</w:t>
            </w:r>
            <w:r>
              <w:rPr>
                <w:sz w:val="18"/>
                <w:szCs w:val="20"/>
              </w:rPr>
              <w:t xml:space="preserve">; o nome genérico repete o nome do medicamento; apresentação e concentração mostram o nome da unidade de medida; quantidade vendida é a quantidade movimentada; o lote é o "Item de Entrada" (número interno), não o lote do fabricante.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bllRelatorio.cs:239-248; RM03.rdlc</w:t>
            </w:r>
          </w:p>
        </w:tc>
        <w:tc>
          <w:tcPr>
            <w:tcW w:w="1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RN-EST-REL11-006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fiscal ou fatura: se o módulo Comercial estiver habilitado e a solicitação for de cliente, vem a fatura do Comercial; nos outros casos vem o campo Referência da movimentação.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bllRelatorio.cs:228-236 e 250-253</w:t>
            </w:r>
          </w:p>
        </w:tc>
        <w:tc>
          <w:tcPr>
            <w:tcW w:w="1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RN-EST-REL11-007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comprador vem do cliente da solicitação (nome, logradouro, bairro, município, cidade, UF, CEP, CNPJ). Saída sem solicitação sai com o comprador em branco (as ligações são externas).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dalRelatorio.cs:1062-1085; bllRelatorio.cs:246-248</w:t>
            </w:r>
          </w:p>
        </w:tc>
        <w:tc>
          <w:tcPr>
            <w:tcW w:w="1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RN-EST-REL11-008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cabeçalho traz título, cliente (da configuração) e o período. Divisão, endereço e telefone são enviados </w:t>
            </w:r>
            <w:r>
              <w:rPr>
                <w:sz w:val="18"/>
                <w:b/>
                <w:bCs/>
                <w:szCs w:val="20"/>
              </w:rPr>
              <w:t xml:space="preserve">em branco</w:t>
            </w:r>
            <w:r>
              <w:rPr>
                <w:sz w:val="18"/>
                <w:szCs w:val="20"/>
              </w:rPr>
              <w:t xml:space="preserve"> e os títulos de autorização de funcionamento, licença de funcionamento e autorização especial saem sem valor. Usuário e data da emissão não aparecem.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VisualizaRelatorio.aspx.cs:356-363; RM03.rdlc</w:t>
            </w:r>
          </w:p>
        </w:tc>
        <w:tc>
          <w:tcPr>
            <w:tcW w:w="1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RN-EST-REL11-009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filtro de empresa, de almoxarifado, de grupo do usuário nem de lixeira da movimentação; a ordem é por código do item e data.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dalRelatorio.cs:1086-1100</w:t>
            </w:r>
          </w:p>
        </w:tc>
        <w:tc>
          <w:tcPr>
            <w:tcW w:w="1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do plano cobre esta tela. O CT-EST-016 (22/10/2026) criou o item </w:t>
      </w:r>
      <w:r>
        <w:rPr>
          <w:szCs w:val="20"/>
        </w:rPr>
        <w:t xml:space="preserve">TESTE CONTROLADO</w:t>
      </w:r>
      <w:r>
        <w:rPr>
          <w:szCs w:val="20"/>
        </w:rPr>
        <w:t xml:space="preserve"> e viu que o sistema pede o Tipo de Substância Controlada, mas </w:t>
      </w:r>
      <w:r>
        <w:rPr>
          <w:b/>
          <w:bCs/>
          <w:szCs w:val="20"/>
        </w:rPr>
        <w:t xml:space="preserve">não conferiu se a marca foi gravada</w:t>
      </w:r>
      <w:r>
        <w:rPr>
          <w:szCs w:val="20"/>
        </w:rPr>
        <w:t xml:space="preserve"> nem abriu este relatório. </w:t>
      </w:r>
      <w:r>
        <w:rPr>
          <w:b/>
          <w:bCs/>
          <w:szCs w:val="20"/>
        </w:rPr>
        <w:t xml:space="preserve">Nada foi visto numa tela real do RM03.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 relacionados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6"/>
        <w:gridCol w:w="3182"/>
        <w:gridCol w:w="4843"/>
      </w:tblGrid>
      <w:tr>
        <w:trPr>
          <w:tblHeader/>
          <w:cantSplit/>
        </w:trPr>
        <w:tc>
          <w:tcPr>
            <w:tcW w:w="16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1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8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CT-EST-016</w:t>
            </w:r>
          </w:p>
        </w:tc>
        <w:tc>
          <w:tcPr>
            <w:tcW w:w="3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controlado: criar </w:t>
            </w:r>
            <w:r>
              <w:rPr>
                <w:sz w:val="18"/>
                <w:szCs w:val="20"/>
              </w:rPr>
              <w:t xml:space="preserve">TESTE CONTROLADO</w:t>
            </w:r>
            <w:r>
              <w:rPr>
                <w:sz w:val="18"/>
                <w:szCs w:val="20"/>
              </w:rPr>
              <w:t xml:space="preserve"> com substância controlada</w:t>
            </w:r>
          </w:p>
        </w:tc>
        <w:tc>
          <w:tcPr>
            <w:tcW w:w="4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(22/10/2026): o sistema pede o Tipo de Substância Controlada. Não verificou se a marca ficou gravada nem o RM03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item </w:t>
      </w:r>
      <w:r>
        <w:rPr>
          <w:szCs w:val="20"/>
        </w:rPr>
        <w:t xml:space="preserve">TESTE CONTROLADO</w:t>
      </w:r>
      <w:r>
        <w:rPr>
          <w:szCs w:val="20"/>
        </w:rPr>
        <w:t xml:space="preserve"> criado agora (marcar "substância controlada" </w:t>
      </w:r>
      <w:r>
        <w:rPr>
          <w:b/>
          <w:bCs/>
          <w:szCs w:val="20"/>
        </w:rPr>
        <w:t xml:space="preserve">sem</w:t>
      </w:r>
      <w:r>
        <w:rPr>
          <w:szCs w:val="20"/>
        </w:rPr>
        <w:t xml:space="preserve"> marcar "controle de destruição"), com lote e saldo; uma saída por solicitação de cliente </w:t>
      </w:r>
      <w:r>
        <w:rPr>
          <w:szCs w:val="20"/>
        </w:rPr>
        <w:t xml:space="preserve">TESTE</w:t>
      </w:r>
      <w:r>
        <w:rPr>
          <w:szCs w:val="20"/>
        </w:rPr>
        <w:t xml:space="preserve">, uma saída por consumo e uma transferência interna, no mesmo mês.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82"/>
        <w:gridCol w:w="1420"/>
        <w:gridCol w:w="3280"/>
        <w:gridCol w:w="2749"/>
      </w:tblGrid>
      <w:tr>
        <w:trPr>
          <w:tblHeader/>
          <w:cantSplit/>
        </w:trPr>
        <w:tc>
          <w:tcPr>
            <w:tcW w:w="21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2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7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CT-EST-REL11-01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o item novo e abri-lo de novo: a marca "substância controlada" continua marcada?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Continua. O código prevê que não (grava o controle de destruição)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CT-EST-REL11-02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RM03 do período com a saída por solicitação de cliente e conferir cada coluna da linha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Medicamento, quantidade, lote, nota fiscal ou fatura, data, comprador, CNPJ e UF corretos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CT-EST-REL11-03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as colunas "Nº do Código da DCB", "Nome Genérico" e "Apresentação / Concentração" da linha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Preenchidas com o cadastro. O código prevê DCB vazia, genérico repetido e unidade no lugar da apresentação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CT-EST-REL11-04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Verificar se a saída por consumo e a saída para produção entram no mapa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Registrar; o título diz "vendas" e o código lista toda saída não interna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CT-EST-REL11-05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Fazer uma saída sem solicitação e gerar o mapa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linha sai sem comprador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CT-EST-REL11-06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início e fim no mesmo dia e com o fim no último dia do mês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último dia entra no mapa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CT-EST-REL11-07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vazia, inválida, com fim antes do início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na tela e relatório só com datas válidas; registrar se a janela abre assim mesmo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CT-EST-REL11-08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 o cabeçalho e o rodapé: endereço, telefone, autorizações, usuário, data de emissão, visto e responsável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sai em branco ou fixo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CT-EST-REL11-09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Exportar para PDF, Excel e Word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linhas da tela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CT-EST-REL11-S1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CT-EST-REL11-S2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Movimentação Mensal de Vendas de Medicamentos (RM03):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Movimentação Mensal de Vendas de Medicamentos (RM03):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