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Insumos (RM14):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Movimentação Mensal de Insumos (RM14)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Movimentação Mensal de Insumos (RM14). No alto da tela o sistema escreve "RELATÓRIO DE MOVIMENTAÇÃO MENSAL DE INSUMOS (RM14)" (rm14.aspx:30), igual ao menu (dml.sql:1933). O título impresso é "RM14 - RELAÇÃO MENSAL DE MOVIMENTAÇÃO DE INSUMOS SUJEITOS A CONTROLE ESPECIAL (RMV)" (VisualizaRelatorio.aspx.cs:332).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 </w:t>
      </w:r>
      <w:r>
        <w:rPr>
          <w:b/>
          <w:bCs/>
          <w:szCs w:val="20"/>
        </w:rPr>
        <w:t xml:space="preserve">Ponto importante:</w:t>
      </w:r>
      <w:r>
        <w:rPr>
          <w:szCs w:val="20"/>
        </w:rPr>
        <w:t xml:space="preserve"> pelo código, o botão GERAR RELATÓRIO monta o endereço com um erro, e o relatório deve sair vazio em qualquer filtro (RN-EST-REL12-002); esse ponto é o primeiro a conferir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irmão do RM03 (tela 11), para </w:t>
      </w:r>
      <w:r>
        <w:rPr>
          <w:b/>
          <w:bCs/>
          <w:szCs w:val="20"/>
        </w:rPr>
        <w:t xml:space="preserve">insumos</w:t>
      </w:r>
      <w:r>
        <w:rPr>
          <w:szCs w:val="20"/>
        </w:rPr>
        <w:t xml:space="preserve"> marcados como substância controlada: lista, por período, as </w:t>
      </w:r>
      <w:r>
        <w:rPr>
          <w:b/>
          <w:bCs/>
          <w:szCs w:val="20"/>
        </w:rPr>
        <w:t xml:space="preserve">entradas e as saídas</w:t>
      </w:r>
      <w:r>
        <w:rPr>
          <w:szCs w:val="20"/>
        </w:rPr>
        <w:t xml:space="preserve"> (não internas), uma linha por movimentação, com código e nome do item, unidade, quantidade, lote do insumo, número do NMM, data, tipo (E ou S), referência e fornecedor (dalRelatorio.cs:968-1030; RM14.rdlc). Os filtros são Grupo, Item e Período. Nada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Assuntos Regulatórios, o responsável técnico e o almoxarife de insumos controlados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pelo menos um item marcado como substância controlada com entradas ou saídas no período; a marca depende do cadastro do item (RN-EST-REL12-005).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(dml.sql:1933). A lista de Grupo é carregada na abertura (rm14.aspx.cs:18-32).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VisualizaRelatorio.aspx?Relatorio=RM14&amp;Inicio=...&amp;Fim=...&amp;CodItem=&lt;item&gt;idGrupoItem=&lt;grupo&gt;</w:t>
      </w:r>
      <w:r>
        <w:rPr>
          <w:szCs w:val="20"/>
        </w:rPr>
        <w:t xml:space="preserve"> (rm14.aspx.cs:63-64). </w:t>
      </w:r>
      <w:r>
        <w:rPr>
          <w:b/>
          <w:bCs/>
          <w:szCs w:val="20"/>
        </w:rPr>
        <w:t xml:space="preserve">O endereço tem um erro de montagem</w:t>
      </w:r>
      <w:r>
        <w:rPr>
          <w:szCs w:val="20"/>
        </w:rPr>
        <w:t xml:space="preserve"> (falta o "&amp;" antes de </w:t>
      </w:r>
      <w:r>
        <w:rPr>
          <w:szCs w:val="20"/>
        </w:rPr>
        <w:t xml:space="preserve">idGrupoItem</w:t>
      </w:r>
      <w:r>
        <w:rPr>
          <w:szCs w:val="20"/>
        </w:rPr>
        <w:t xml:space="preserve">; ver as regras).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LaboSys_UI/relatorios/rm14.aspx e .aspx.cs (filtro); LaboSys_UI/VisualizaRelatorio.aspx e .aspx.cs (método </w:t>
      </w:r>
      <w:r>
        <w:rPr>
          <w:szCs w:val="20"/>
        </w:rPr>
        <w:t xml:space="preserve">RM14</w:t>
      </w:r>
      <w:r>
        <w:rPr>
          <w:szCs w:val="20"/>
        </w:rPr>
        <w:t xml:space="preserve">, linhas 310-341)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LaboSys_UI/relatorios/rpt/RM14.rdlc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LaboSys_BLL/bllRelatorio.cs:198-218 (</w:t>
      </w:r>
      <w:r>
        <w:rPr>
          <w:szCs w:val="20"/>
        </w:rPr>
        <w:t xml:space="preserve">retornaListaRM14</w:t>
      </w:r>
      <w:r>
        <w:rPr>
          <w:szCs w:val="20"/>
        </w:rPr>
        <w:t xml:space="preserve">); LaboSys_BLL/bllItemGrupo.cs (lista de grupos)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LaboSys_DAL/dalRelatorio.cs:967-1030 (</w:t>
      </w:r>
      <w:r>
        <w:rPr>
          <w:szCs w:val="20"/>
        </w:rPr>
        <w:t xml:space="preserve">retornaListaRM14</w:t>
      </w:r>
      <w:r>
        <w:rPr>
          <w:szCs w:val="20"/>
        </w:rPr>
        <w:t xml:space="preserve">); LaboSys_Model/RM14Report.cs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que alimenta a marca "substância controlada": LaboSys_DAL/dalItem.cs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TBL_ITEM.sql, TBL_ITEM_LOTE.sql, TBL_ITEM_SUBGRUPO e TBL_ITEM_GRUPO, TBL_UNIDADE_MEDIDA_ESTOQUE, TBL_TIPO_MOVIMENTACAO; fornecedor em GBL_PJ (sinônimo, Synonyms/GBL_PJ.sql)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relação de entradas e saídas dos insumos controlados que a fábrica entrega ao responsável técnico e à autoridade sanitária. Se ela vier vazia por defeito, a fábrica pode declarar "sem movimento" sem ter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lê as movimentações dos itens marcados como substância controlada e as põe em um modelo de relação mensal. A importância é regulatória, como a do RM03, mas aqui o código mostra um defeito na própria tela: o endereço montado impede que os filtros cheguem certos e deve deixar o relatório vazio (RN-EST-REL12-002).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Além disso, o item novo pode ficar sem a marca de controlado (RN-EST-REL12-005), o rodapé traz assinatura de outro cliente e o cabeçalho sai com dados em branco (RN-EST-REL12-006).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Assuntos Regulatórios:</w:t>
      </w:r>
      <w:r>
        <w:rPr>
          <w:szCs w:val="20"/>
        </w:rPr>
        <w:t xml:space="preserve"> a relação precisa mostrar toda movimentação de controlado; relatório vazio por defeito é pior que nenhum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almoxarife de insumos controlados depende do relatório para fechar o mês.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Recebimento:</w:t>
      </w:r>
      <w:r>
        <w:rPr>
          <w:szCs w:val="20"/>
        </w:rPr>
        <w:t xml:space="preserve"> a coluna de fornecedor depende da nota fiscal gravada; o CNPJ do modelo não tem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a relação é prova de controle; assinatura de outro cliente ou relatório vazio contradiz a rastreabilidade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DV-EST-008 foi visto em outras telas;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5"/>
        <w:gridCol w:w="1937"/>
        <w:gridCol w:w="1683"/>
        <w:gridCol w:w="1479"/>
        <w:gridCol w:w="3317"/>
      </w:tblGrid>
      <w:tr>
        <w:trPr>
          <w:tblHeader/>
          <w:cantSplit/>
        </w:trPr>
        <w:tc>
          <w:tcPr>
            <w:tcW w:w="1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F-REL12-1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da segunda janela junta Item e Grupo sem "&amp;" e com nome de parâmetro diferente do lido: o grupo é ignorado e o filtro de item nunca fica vazio, então o relatório deve sair </w:t>
            </w:r>
            <w:r>
              <w:rPr>
                <w:sz w:val="18"/>
                <w:b/>
                <w:bCs/>
                <w:szCs w:val="20"/>
              </w:rPr>
              <w:t xml:space="preserve">sempre vazio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as movimentações do filtro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(relatório regulatório inútil, com risco de ser lido como "sem movimento")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rm14.aspx.cs:63; VisualizaRelatorio.aspx.cs:316-317 e 334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F-REL12-2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"substância controlada" do item novo é gravada com o campo "Controle de destruição"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campo certo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dalItem.cs:119-120 e 291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F-REL12-3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NMM recebe o identificador da linha de movimentação; a coluna CNPJ do modelo não tem campo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NMM e CNPJ do fornecedor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dalRelatorio.cs:975; RM14Report.cs; RM14.rdlc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F-REL12-4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rodapé traz assinatura de outro cliente (cargos, nomes e inscrição profissional fixos); endereço, telefone e autorizações em branco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configuração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(documento regulatório com assinatura errada)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RM14.rdlc:876-953; VisualizaRelatorio.aspx.cs:327-329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F-REL12-5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Item é texto montado na consulta, sem tratamento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com parâmetro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(acesso)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dalRelatorio.cs:1011-1012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F-REL12-6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impresso é passado com marcação "&lt;br /&gt;"; se o modelo não interpretar a marcação, os sinais saem como texto no título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limpo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VisualizaRelatorio.aspx.cs:332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F-REL12-7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 não limpa Grupo nem Item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todos os campos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rm14.aspx.cs:34-38</w:t>
            </w:r>
          </w:p>
        </w:tc>
      </w:tr>
      <w:tr>
        <w:trPr>
          <w:cantSplit/>
        </w:trPr>
        <w:tc>
          <w:tcPr>
            <w:tcW w:w="1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F-REL12-8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datas podem sair em formato americano (DV-EST-057)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RM14.rdlc (sem o elemento Language)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tela e do menu diz "movimentação mensal de insumos"; o título impresso diz "relação mensal de movimentação de insumos sujeitos a controle especial", e a consulta só traz itens marcados como substância controlada.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parâmetro de grupo é </w:t>
      </w:r>
      <w:r>
        <w:rPr>
          <w:szCs w:val="20"/>
        </w:rPr>
        <w:t xml:space="preserve">idGrupoItem</w:t>
      </w:r>
      <w:r>
        <w:rPr>
          <w:szCs w:val="20"/>
        </w:rPr>
        <w:t xml:space="preserve"> na tela e </w:t>
      </w:r>
      <w:r>
        <w:rPr>
          <w:szCs w:val="20"/>
        </w:rPr>
        <w:t xml:space="preserve">IdItemGrupo</w:t>
      </w:r>
      <w:r>
        <w:rPr>
          <w:szCs w:val="20"/>
        </w:rPr>
        <w:t xml:space="preserve"> no relatório (rm14.aspx.cs:63 e VisualizaRelatorio.aspx.cs:317): a diferença, somada ao "&amp;" que falta, indica que o relatório nunca foi conferido pela tela como o usuário o aciona.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RM14 valida a página no clique (Page.Validate, rm14.aspx.cs:46-48); o RC07, o RC08 e o RM03 não.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rm14</w:t>
      </w:r>
      <w:r>
        <w:rPr>
          <w:szCs w:val="20"/>
        </w:rPr>
        <w:t xml:space="preserve"> (LaboSys_UI/relatorios/rm14.aspx.cs:13).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(dml.sql:1933;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(CT-EST-REL12-S1).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Item e o Grupo vão no endereço da segunda janela sem codificação (rm14.aspx.cs:63). Caracteres como "&amp;" ou "#" digitados no Item quebram o endereço.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vão já convertidas para aaaa-mm-dd; a página do relatório as converte de novo com </w:t>
      </w:r>
      <w:r>
        <w:rPr>
          <w:szCs w:val="20"/>
        </w:rPr>
        <w:t xml:space="preserve">TryParse</w:t>
      </w:r>
      <w:r>
        <w:rPr>
          <w:szCs w:val="20"/>
        </w:rPr>
        <w:t xml:space="preserve"> (VisualizaRelatorio.aspx.cs:319-323).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Item entra na consulta </w:t>
      </w:r>
      <w:r>
        <w:rPr>
          <w:b/>
          <w:bCs/>
          <w:szCs w:val="20"/>
        </w:rPr>
        <w:t xml:space="preserve">concatenado</w:t>
      </w:r>
      <w:r>
        <w:rPr>
          <w:szCs w:val="20"/>
        </w:rPr>
        <w:t xml:space="preserve">: </w:t>
      </w:r>
      <w:r>
        <w:rPr>
          <w:szCs w:val="20"/>
        </w:rPr>
        <w:t xml:space="preserve">AND I.COD_ITEM + ' - ' + I.NOME_DESCRICAO LIKE '%&lt;texto&gt;%'</w:t>
      </w:r>
      <w:r>
        <w:rPr>
          <w:szCs w:val="20"/>
        </w:rPr>
        <w:t xml:space="preserve"> (dalRelatorio.cs:1011-1012), sem parâmetro e sem tratamento. O texto vem do endereço, que qualquer usuário autenticado pode escrever (VisualizaRelatorio.aspx.cs:316). É o padrão do SEG-EST-02. Leitura do código, a confirmar (CT-EST-REL12-S2).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é convertido em número antes de entrar na consulta (dalRelatorio.cs:1014-1015); as datas, formatadas depois de convertidas.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mostra o texto do erro interno ao usuário no link "Detalhe do erro (+)", o que revela detalhes do banco (rm14.aspx.cs:71-78 e 89-103).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relatório regulatório que sai vazio por defeito do endereço e não registra quem o emitiu pode ser entregue como "sem movimento" sem que ninguém perceba (leitura da área).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6"/>
        <w:gridCol w:w="5978"/>
        <w:gridCol w:w="1467"/>
      </w:tblGrid>
      <w:tr>
        <w:trPr>
          <w:tblHeader/>
          <w:cantSplit/>
        </w:trPr>
        <w:tc>
          <w:tcPr>
            <w:tcW w:w="2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CT-EST-REL12-S1 (Alta)</w:t>
            </w:r>
          </w:p>
        </w:tc>
        <w:tc>
          <w:tcPr>
            <w:tcW w:w="5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(Relatorio=RM14, Inicio, Fim e CodItem) e os parâmetros da tela. Esperado: acesso negado; não gerar o relatório de dados reais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CT-EST-REL12-S2 (Média)</w:t>
            </w:r>
          </w:p>
        </w:tc>
        <w:tc>
          <w:tcPr>
            <w:tcW w:w="5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Item, digitar um texto com aspas simples e conferir se a segunda janela mostra erro técnico ou muda o resultado. Não executar comandos de alteração nem consultar dados de outra tabela.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Insumos (RM14):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Insumos (RM14):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