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Insumos (RM14):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o RM03, a relação de insumos controlados vem de norma própria que não está nos textos da RDC 658 e do Guia 33. O que se avalia aqui é o registro: rastreabilidade, precisão e acesso. O RM14 não atende pelo código lido: o endereço montado deixa o relatório vazio, mas isso ainda não foi visto em tela, e por isso a situação é A verificar.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5"/>
        <w:gridCol w:w="1403"/>
        <w:gridCol w:w="4137"/>
        <w:gridCol w:w="1336"/>
      </w:tblGrid>
      <w:tr>
        <w:trPr>
          <w:tblHeader/>
          <w:cantSplit/>
        </w:trPr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relação deveria permitir rastrear cada entrada e saída do insumo controlado. Pelo código, o endereço mal montado deixa o relatório vazio (RN-EST-REL12-002); o item novo pode ficar fora (RN-EST-REL12-005). Não confirmado em tela (CT-EST-REL12-01 e 02)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 da relação: NMM é o identificador da linha, o CNPJ não tem campo e o rodapé tem assinatura fixa de outro cliente (RN-EST-REL12-004 e 006)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calcula; o filtro por item controlado e por movimentação não interna é a regra crítica (RN-EST-REL12-003)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 e a página do relatório confere só a sessão (DV-EST-008, Alta, visto em outras telas do Estoque; sem teste nesta). O filtro Item é texto concatenado na consulta (SEG-EST-02)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valida a página e as datas, mas o Item não é tratado e o Grupo não chega ao relatório (F-REL12-1 e 5)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mostra o erro interno ao usuário (link Detalhe do erro) e a segunda janela traz só "Erro ao gerar o relatório!"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Exigência que não vem dos textos da RDC 658 nem do Guia 33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no RM03, a relação mensal de insumos sujeitos a controle especial segue norma sanitária própria, </w:t>
      </w:r>
      <w:r>
        <w:rPr>
          <w:b/>
          <w:bCs/>
          <w:szCs w:val="20"/>
        </w:rPr>
        <w:t xml:space="preserve">fora dos textos da RDC 658/2022 e do Guia 33/2020</w:t>
      </w:r>
      <w:r>
        <w:rPr>
          <w:szCs w:val="20"/>
        </w:rPr>
        <w:t xml:space="preserve"> desta análise; não se cita artigo dela. Leitura da área, a validar com Assuntos Regulatórios: confirmar o modelo exigido, a periodicidade e se o modelo do RM14 (campos de autoridade sanitária, autorizações e assinatura do responsável) o cobre.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Todo insumo controlado que entrou e saiu no mês aparece na relação? O código indica que o relatório sai vazio; a confirmar no teste. 2. Quem assina a relação? O modelo traz nomes de outro cliente no rodapé, e o sistema não registra quem emitiu. 3. A coluna de NMM é o número da nota de movimentação? Em dúvida: a consulta traz o identificador da linha. 4. O endereço e as autorizações da empresa saem preenchidos? Não: saem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montagem do endereço ("&amp;" e nome do parâmetro) e conferir pela tela, como o usuário a aciona (RN-EST-REL12-002).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marca "substância controlada" na inclusão do item (RN-EST-REL12-005).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Trazer o número da NMM e o CNPJ do fornecedor (RN-EST-REL12-004).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o rodapé fixo por assinatura da configuração e preencher endereço, telefone e autorizações (RN-EST-REL12-006).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parâmetro na consulta do filtro Item (SEG-EST-02).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emitiu, quando e para qual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"Saídas (ex.: relatórios);", "Cálculos, incluindo todos os algoritmos críticos;", "Segurança incluindo controle de acesso;" e "Mensagens de erro inequívocas.". O relatório nunca foi aberto em teste, a segurança é visual e as mensagens de erro são genéricas. Item 9.7.7.1.2: "Recursos de entrada manual de dados e validação da entrada;" também se aplica ao filtro.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Insumos (RM14):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Insumos (RM14):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