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Movimentação Mensal de Insumos (RM14):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novos desta página: RN-EST-REL12-nnn (relatório sem regra anterior no documento de regras; as regras relacionadas citam o id RN-EST existente). A situação de cada regra vem dos testes citados; onde nenhum teste passou pela tela, a situação é Extraída (vem só do código).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29"/>
        <w:gridCol w:w="3388"/>
        <w:gridCol w:w="3227"/>
        <w:gridCol w:w="1087"/>
      </w:tblGrid>
      <w:tr>
        <w:trPr>
          <w:tblHeader/>
          <w:cantSplit/>
        </w:trPr>
        <w:tc>
          <w:tcPr>
            <w:tcW w:w="19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RN-EST-REL12-001</w:t>
            </w:r>
          </w:p>
        </w:tc>
        <w:tc>
          <w:tcPr>
            <w:tcW w:w="3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são Grupo (lista de grupos de item ativos da empresa), Item (texto até 80) e Período (início e fim obrigatórios). O clique valida a página antes de abrir a janela.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rm14.aspx:46-85; rm14.aspx.cs:22-32 e 46-55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RN-EST-REL12-002</w:t>
            </w:r>
          </w:p>
        </w:tc>
        <w:tc>
          <w:tcPr>
            <w:tcW w:w="3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endereço da segunda janela é montado sem o "&amp;" entre Item e Grupo e com nome de parâmetro diferente do que a página do relatório lê.</w:t>
            </w:r>
            <w:r>
              <w:rPr>
                <w:sz w:val="18"/>
                <w:szCs w:val="20"/>
              </w:rPr>
              <w:t xml:space="preserve"> A tela envia </w:t>
            </w:r>
            <w:r>
              <w:rPr>
                <w:sz w:val="18"/>
                <w:szCs w:val="20"/>
              </w:rPr>
              <w:t xml:space="preserve">CodItem=&lt;item&gt;idGrupoItem=&lt;grupo&gt;</w:t>
            </w:r>
            <w:r>
              <w:rPr>
                <w:sz w:val="18"/>
                <w:szCs w:val="20"/>
              </w:rPr>
              <w:t xml:space="preserve">; a página lê </w:t>
            </w:r>
            <w:r>
              <w:rPr>
                <w:sz w:val="18"/>
                <w:szCs w:val="20"/>
              </w:rPr>
              <w:t xml:space="preserve">CodItem</w:t>
            </w:r>
            <w:r>
              <w:rPr>
                <w:sz w:val="18"/>
                <w:szCs w:val="20"/>
              </w:rPr>
              <w:t xml:space="preserve"> (que então traz o texto do item grudado em "idGrupoItem=n") e procura </w:t>
            </w:r>
            <w:r>
              <w:rPr>
                <w:sz w:val="18"/>
                <w:szCs w:val="20"/>
              </w:rPr>
              <w:t xml:space="preserve">IdItemGrupo</w:t>
            </w:r>
            <w:r>
              <w:rPr>
                <w:sz w:val="18"/>
                <w:szCs w:val="20"/>
              </w:rPr>
              <w:t xml:space="preserve">, que não existe. Duas consequências pelo código: o filtro de grupo nunca é aplicado e o filtro de item </w:t>
            </w:r>
            <w:r>
              <w:rPr>
                <w:sz w:val="18"/>
                <w:b/>
                <w:bCs/>
                <w:szCs w:val="20"/>
              </w:rPr>
              <w:t xml:space="preserve">nunca fica vazio</w:t>
            </w:r>
            <w:r>
              <w:rPr>
                <w:sz w:val="18"/>
                <w:szCs w:val="20"/>
              </w:rPr>
              <w:t xml:space="preserve">: a consulta procura itens cujo "código - descrição" contenha "idGrupoItem=0", e o relatório sai vazio, qualquer que seja o filtro.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rm14.aspx.cs:63; VisualizaRelatorio.aspx.cs:316-317 e 334; dalRelatorio.cs:1011-1012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RN-EST-REL12-003</w:t>
            </w:r>
          </w:p>
        </w:tc>
        <w:tc>
          <w:tcPr>
            <w:tcW w:w="3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endereço estivesse certo: entram linhas de itens marcados como substância controlada e de tipos de movimentação não internos, </w:t>
            </w:r>
            <w:r>
              <w:rPr>
                <w:sz w:val="18"/>
                <w:b/>
                <w:bCs/>
                <w:szCs w:val="20"/>
              </w:rPr>
              <w:t xml:space="preserve">entradas e saídas</w:t>
            </w:r>
            <w:r>
              <w:rPr>
                <w:sz w:val="18"/>
                <w:szCs w:val="20"/>
              </w:rPr>
              <w:t xml:space="preserve">, no período (do início ao fim do último dia); item = texto contido em "código - descrição"; grupo = o do subgrupo do item.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dalRelatorio.cs:1001-1015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RN-EST-REL12-004</w:t>
            </w:r>
          </w:p>
        </w:tc>
        <w:tc>
          <w:tcPr>
            <w:tcW w:w="3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Colunas: código, nome, unidade, quantidade, lote do insumo ("Item de Entrada", número interno), NMM, data, tipo (E ou S), referência da movimentação e fornecedor da nota fiscal. A coluna NMM recebe </w:t>
            </w:r>
            <w:r>
              <w:rPr>
                <w:sz w:val="18"/>
                <w:szCs w:val="20"/>
              </w:rPr>
              <w:t xml:space="preserve">ID_MOV_ITEM</w:t>
            </w:r>
            <w:r>
              <w:rPr>
                <w:sz w:val="18"/>
                <w:szCs w:val="20"/>
              </w:rPr>
              <w:t xml:space="preserve">, o identificador da linha de movimentação, e não o número da nota de movimentação impressa na tela de Movimentação (ponto para validar). O modelo tem um título "CNPJ" e nenhum campo de CNPJ na consulta.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dalRelatorio.cs:970-990; RM14Report.cs; RM14.rdlc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RN-EST-REL12-005</w:t>
            </w:r>
          </w:p>
        </w:tc>
        <w:tc>
          <w:tcPr>
            <w:tcW w:w="3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</w:t>
            </w:r>
            <w:r>
              <w:rPr>
                <w:sz w:val="18"/>
                <w:b/>
                <w:bCs/>
                <w:szCs w:val="20"/>
              </w:rPr>
              <w:t xml:space="preserve">inclusão</w:t>
            </w:r>
            <w:r>
              <w:rPr>
                <w:sz w:val="18"/>
                <w:szCs w:val="20"/>
              </w:rPr>
              <w:t xml:space="preserve"> do item, a coluna SUBSTANCIA_CONTROLADA é gravada com o valor do campo "Controle de destruição" e não com o do campo "Substância controlada" (dalItem.cs:119-120); na </w:t>
            </w:r>
            <w:r>
              <w:rPr>
                <w:sz w:val="18"/>
                <w:b/>
                <w:bCs/>
                <w:szCs w:val="20"/>
              </w:rPr>
              <w:t xml:space="preserve">alteração</w:t>
            </w:r>
            <w:r>
              <w:rPr>
                <w:sz w:val="18"/>
                <w:szCs w:val="20"/>
              </w:rPr>
              <w:t xml:space="preserve"> usa o campo certo (dalItem.cs:291). Consequência pelo código: um item novo marcado só como substância controlada entra no cadastro como não controlado e fica fora deste relatório (e do RM14) até ser aberto e salvo de novo; um item marcado só com controle de destruição entra como controlado.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dalItem.cs:119-120 e 291; dalRelatorio.cs:1001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RN-EST-REL12-006</w:t>
            </w:r>
          </w:p>
        </w:tc>
        <w:tc>
          <w:tcPr>
            <w:tcW w:w="3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traz título, cliente (da configuração) e o período; divisão, endereço e telefone vão em branco e os títulos de autorização saem sem valor. O rodapé traz um bloco de assinatura com cargos, nomes e inscrição profissional escritos no próprio modelo, de outro cliente.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VisualizaRelatorio.aspx.cs:325-332; RM14.rdlc:876-953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RN-EST-REL12-007</w:t>
            </w:r>
          </w:p>
        </w:tc>
        <w:tc>
          <w:tcPr>
            <w:tcW w:w="3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seleção de item é texto concatenado na consulta, sem tratamento (ver Segurança e acesso). Não há filtro de empresa, almoxarifado, lixeira ou grupo do usuário.</w:t>
            </w:r>
          </w:p>
        </w:tc>
        <w:tc>
          <w:tcPr>
            <w:tcW w:w="32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dalRelatorio.cs:1011-1012 e 1000-1002</w:t>
            </w:r>
          </w:p>
        </w:tc>
        <w:tc>
          <w:tcPr>
            <w:tcW w:w="1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do plano cobre esta tela e nenhuma rodada a abriu. </w:t>
      </w:r>
      <w:r>
        <w:rPr>
          <w:b/>
          <w:bCs/>
          <w:szCs w:val="20"/>
        </w:rPr>
        <w:t xml:space="preserve">Nada foi visto numa tela real.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o item </w:t>
      </w:r>
      <w:r>
        <w:rPr>
          <w:szCs w:val="20"/>
        </w:rPr>
        <w:t xml:space="preserve">TESTE CONTROLADO</w:t>
      </w:r>
      <w:r>
        <w:rPr>
          <w:szCs w:val="20"/>
        </w:rPr>
        <w:t xml:space="preserve"> (ver RM03, caso CT-EST-REL11-01) com uma entrada e uma saída no mês, mais uma transferência interna e um item comum com movimento.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0"/>
        <w:gridCol w:w="1426"/>
        <w:gridCol w:w="3325"/>
        <w:gridCol w:w="2680"/>
      </w:tblGrid>
      <w:tr>
        <w:trPr>
          <w:tblHeader/>
          <w:cantSplit/>
        </w:trPr>
        <w:tc>
          <w:tcPr>
            <w:tcW w:w="22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CT-EST-REL12-01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Grupo "SELECIONE", Item vazio e período do mês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da entrada e da saída do item controlado. </w:t>
            </w:r>
            <w:r>
              <w:rPr>
                <w:sz w:val="18"/>
                <w:b/>
                <w:bCs/>
                <w:szCs w:val="20"/>
              </w:rPr>
              <w:t xml:space="preserve">O código prevê relatório vazio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CT-EST-REL12-02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o Item </w:t>
            </w:r>
            <w:r>
              <w:rPr>
                <w:sz w:val="18"/>
                <w:szCs w:val="20"/>
              </w:rPr>
              <w:t xml:space="preserve">TESTE CONTROLADO</w:t>
            </w:r>
            <w:r>
              <w:rPr>
                <w:sz w:val="18"/>
                <w:szCs w:val="20"/>
              </w:rPr>
              <w:t xml:space="preserve"> digitado, depois com o Grupo escolhido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item e o grupo filtrados. O código prevê vazio e ignorar o grupo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CT-EST-REL12-03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relatório sair vazio, repetir pelo endereço com </w:t>
            </w:r>
            <w:r>
              <w:rPr>
                <w:sz w:val="18"/>
                <w:szCs w:val="20"/>
              </w:rPr>
              <w:t xml:space="preserve">CodItem</w:t>
            </w:r>
            <w:r>
              <w:rPr>
                <w:sz w:val="18"/>
                <w:szCs w:val="20"/>
              </w:rPr>
              <w:t xml:space="preserve"> em branco e sem o texto "idGrupoItem" (endereço montado à mão)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o defeito está na montagem do endereço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CT-EST-REL12-04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as colunas NMM e Referência com a nota de movimentação impressa na tela Movimentação de Material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NMM igual ao número impresso. O código prevê o identificador interno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CT-EST-REL12-05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 coluna CNPJ e o fornecedor de uma entrada por nota fiscal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CNPJ preenchido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CT-EST-REL12-06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uma transferência interna do item controlado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(movimentação interna)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CT-EST-REL12-07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vazia, inválida e com fim antes do início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na tela; relatório só com datas válidas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CT-EST-REL12-08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 o cabeçalho e o rodapé: título, endereço, telefone, autorizações, assinaturas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sai em branco ou fixo de outro cliente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CT-EST-REL12-09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Exportar para PDF, Excel e Word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da tela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CT-EST-REL12-S1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CT-EST-REL12-S2</w:t>
            </w:r>
          </w:p>
        </w:tc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Movimentação Mensal de Insumos (RM14):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Movimentação Mensal de Insumos (RM14):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