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Movimentação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lê as tabelas de saldo e custo por dia, não o saldo por lote e endereço; confira o saldo atual com a Disponibilidade na primeira vez.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colunas "Aquisição" e "Consumo" incluem, pelo código, transferências entre endereços e outros movimentos internos (ver Falhas); não as leia como compras e consumo reais sem conferir.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mapa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"Mapa de Movimentação de Material". Aparece o quadro com Grupo, Mês, Ano e Saldo, já com o mês e o ano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("SELECIONE" = todos),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(4 números; 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</w:t>
      </w:r>
      <w:r>
        <w:rPr>
          <w:b/>
          <w:bCs/>
          <w:szCs w:val="20"/>
        </w:rPr>
        <w:t xml:space="preserve">Saldo</w:t>
      </w:r>
      <w:r>
        <w:rPr>
          <w:szCs w:val="20"/>
        </w:rPr>
        <w:t xml:space="preserve">: TODOS (todos os itens, até os zerados), SIM (só itens com saldo anterior ou movimento no mês) ou NÃO (só itens sem saldo e sem movimento).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RELATÓRIO. Abre uma segunda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Leia: por grupo, uma linha por item com Saldo Anterior, Aquisição, Consumo e Saldo Atual (quantidade e valor), o total do grupo e o total geral; no fim, três assinaturas (nome e cargo) que vêm da configuração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volta o Grupo para "SELECIONE" e o Mês e o Ano para os de hoje; não mexe em Saldo.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15"/>
        <w:gridCol w:w="1737"/>
        <w:gridCol w:w="1471"/>
        <w:gridCol w:w="1805"/>
        <w:gridCol w:w="3803"/>
      </w:tblGrid>
      <w:tr>
        <w:trPr>
          <w:tblHeader/>
          <w:cantSplit/>
        </w:trPr>
        <w:tc>
          <w:tcPr>
            <w:tcW w:w="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grupos de item ativos da empresa)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grupo do item</w:t>
            </w:r>
          </w:p>
        </w:tc>
        <w:tc>
          <w:tcPr>
            <w:tcW w:w="3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rel_mapa_movimentacao_mat_lst.aspx:48-50; rel_mapa_movimentacao_mat_lst.aspx.cs:25-33; dalRelatorio.cs:1751-1752</w:t>
            </w:r>
          </w:p>
        </w:tc>
      </w:tr>
      <w:tr>
        <w:trPr>
          <w:cantSplit/>
        </w:trPr>
        <w:tc>
          <w:tcPr>
            <w:tcW w:w="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janeiro a dezembro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há um valor)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com o mês de hoje</w:t>
            </w:r>
          </w:p>
        </w:tc>
        <w:tc>
          <w:tcPr>
            <w:tcW w:w="3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rel_mapa_movimentacao_mat_lst.aspx:52-71; rel_mapa_movimentacao_mat_lst.aspx.cs:20</w:t>
            </w:r>
          </w:p>
        </w:tc>
      </w:tr>
      <w:tr>
        <w:trPr>
          <w:cantSplit/>
        </w:trPr>
        <w:tc>
          <w:tcPr>
            <w:tcW w:w="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4 números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dígitos; "Ano não informado!" se vazio; não confere se tem 4 dígitos nem se é futuro</w:t>
            </w:r>
          </w:p>
        </w:tc>
        <w:tc>
          <w:tcPr>
            <w:tcW w:w="3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rel_mapa_movimentacao_mat_lst.aspx:74-86; rel_mapa_movimentacao_mat_lst.aspx.cs:21</w:t>
            </w:r>
          </w:p>
        </w:tc>
      </w:tr>
      <w:tr>
        <w:trPr>
          <w:cantSplit/>
        </w:trPr>
        <w:tc>
          <w:tcPr>
            <w:tcW w:w="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TODOS (padrão), NÃO, SIM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itens pelo saldo anterior e pelo movimento do mês (ver regras)</w:t>
            </w:r>
          </w:p>
        </w:tc>
        <w:tc>
          <w:tcPr>
            <w:tcW w:w="3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rel_mapa_movimentacao_mat_lst.aspx:89-97; dalRelatorio.cs:1755-1761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2"/>
        <w:gridCol w:w="1438"/>
        <w:gridCol w:w="2323"/>
        <w:gridCol w:w="3798"/>
      </w:tblGrid>
      <w:tr>
        <w:trPr>
          <w:tblHeader/>
          <w:cantSplit/>
        </w:trPr>
        <w:tc>
          <w:tcPr>
            <w:tcW w:w="2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o Ano e abre a segunda janela com o grupo do usuário e os filtros</w:t>
            </w:r>
          </w:p>
        </w:tc>
        <w:tc>
          <w:tcPr>
            <w:tcW w:w="3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rel_mapa_movimentacao_mat_lst.aspx.cs:35-67</w:t>
            </w:r>
          </w:p>
        </w:tc>
      </w:tr>
      <w:tr>
        <w:trPr>
          <w:cantSplit/>
        </w:trPr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para "SELECIONE"; Mês e Ano para os de hoje; não limpa Saldo</w:t>
            </w:r>
          </w:p>
        </w:tc>
        <w:tc>
          <w:tcPr>
            <w:tcW w:w="3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rel_mapa_movimentacao_mat_lst.aspx.cs:69-80</w:t>
            </w:r>
          </w:p>
        </w:tc>
      </w:tr>
      <w:tr>
        <w:trPr>
          <w:cantSplit/>
        </w:trPr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filtro dá erro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rel_mapa_movimentacao_mat_lst.aspx.cs:82-97</w:t>
            </w:r>
          </w:p>
        </w:tc>
      </w:tr>
      <w:tr>
        <w:trPr>
          <w:cantSplit/>
        </w:trPr>
        <w:tc>
          <w:tcPr>
            <w:tcW w:w="2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5"/>
        <w:gridCol w:w="2570"/>
        <w:gridCol w:w="4386"/>
      </w:tblGrid>
      <w:tr>
        <w:trPr>
          <w:tblHeader/>
          <w:cantSplit/>
        </w:trPr>
        <w:tc>
          <w:tcPr>
            <w:tcW w:w="2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não informado!</w:t>
            </w:r>
          </w:p>
        </w:tc>
        <w:tc>
          <w:tcPr>
            <w:tcW w:w="2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rel_mapa_movimentacao_mat_lst.aspx:77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bllRelatorio.cs:395-410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Mapa de Movimentação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Mapa de Movimentação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