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Aquisição de Material: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Aquisição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Aquisição de Material (dml.sql:1938). No alto da tela o sistema escreve "RELATÓRIO - AQUISIÇÃO DE MATERIAL" (rel_aquisicao_material_lst.aspx:30); o título impresso é "AQUISIÇÃO DE MATERIAIS POR GRUPO" (VisualizaRelatorio.aspx.cs:856). Versão legado. Documentação de 23/10/2026, feita pela leitura do código.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Fluxo do processo: nenhum documentado. Nenhuma rodada de teste (07/10 a 22/10/2026) abriu esta tela. </w:t>
      </w:r>
      <w:r>
        <w:rPr>
          <w:b/>
          <w:bCs/>
          <w:szCs w:val="20"/>
        </w:rPr>
        <w:t xml:space="preserve">Nada foi visto numa tela real</w:t>
      </w:r>
      <w:r>
        <w:rPr>
          <w:szCs w:val="20"/>
        </w:rPr>
        <w:t xml:space="preserve">: o que está escrito aqui é o que o código faz e onde ele pode falhar. O que o código mostra fica nas regras com situação Extraída; o que é suposição está marcado como ponto para validar.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</w:t>
      </w:r>
      <w:r>
        <w:rPr>
          <w:b/>
          <w:bCs/>
          <w:szCs w:val="20"/>
        </w:rPr>
        <w:t xml:space="preserve">relatório de consulta</w:t>
      </w:r>
      <w:r>
        <w:rPr>
          <w:szCs w:val="20"/>
        </w:rPr>
        <w:t xml:space="preserve">, que não grava nada. Lista, por grupo de item e por item, as </w:t>
      </w:r>
      <w:r>
        <w:rPr>
          <w:b/>
          <w:bCs/>
          <w:szCs w:val="20"/>
        </w:rPr>
        <w:t xml:space="preserve">entradas</w:t>
      </w:r>
      <w:r>
        <w:rPr>
          <w:szCs w:val="20"/>
        </w:rPr>
        <w:t xml:space="preserve"> de material em um período (por mês e ano ou por datas específicas): documento (nota fiscal ou referência), data, unidade, quantidade, valor unitário e valor total, com total por material, por grupo e geral e três assinaturas (dalRelatorio.cs:1801-1880; RPT_AQUISICAO_MATERIAL_GRUPO.rdlc). Responde "quanto se adquiriu" no período.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Compras, o almoxarife-chefe e a área financeira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entradas gravadas no período, de itens da empresa e do grupo do usuário (dalRelatorio.cs:1835-1850).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menu Relatórios (dml.sql:1938). O tipo de período abre em Mês/Ano, com o mês e o ano de hoje; o período específico só habilita as datas se o tipo for trocado.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é gravado.</w:t>
      </w:r>
      <w:r>
        <w:rPr>
          <w:szCs w:val="20"/>
        </w:rPr>
        <w:t xml:space="preserve"> O botão GERAR RELATÓRIO valida o filtro e abre uma segunda janela com </w:t>
      </w:r>
      <w:r>
        <w:rPr>
          <w:szCs w:val="20"/>
        </w:rPr>
        <w:t xml:space="preserve">VisualizaRelatorio.aspx?Relatorio=RelAquisicaoMaterial&amp;idGrupoUsuario=...&amp;idGrupoItem=...&amp;dataInicio=...&amp;dataFim=...</w:t>
      </w:r>
      <w:r>
        <w:rPr>
          <w:szCs w:val="20"/>
        </w:rPr>
        <w:t xml:space="preserve"> (rel_aquisicao_material_lst.aspx.cs:35-80).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aprovação, número de documento nem registro de quem emitiu.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LaboSys_UI/relatorios/rel_aquisicao_material_lst.aspx e .aspx.cs (filtro); LaboSys_UI/VisualizaRelatorio.aspx e .aspx.cs (método </w:t>
      </w:r>
      <w:r>
        <w:rPr>
          <w:szCs w:val="20"/>
        </w:rPr>
        <w:t xml:space="preserve">RptAquisicaoMaterial</w:t>
      </w:r>
      <w:r>
        <w:rPr>
          <w:szCs w:val="20"/>
        </w:rPr>
        <w:t xml:space="preserve">, linhas 827-885)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(modelo impresso): LaboSys_UI/relatorios/rpt/RPT_AQUISICAO_MATERIAL_GRUPO.rdlc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LaboSys_BLL/bllRelatorio.cs:410-425 (</w:t>
      </w:r>
      <w:r>
        <w:rPr>
          <w:szCs w:val="20"/>
        </w:rPr>
        <w:t xml:space="preserve">retornaListaAquisicaoMaterial</w:t>
      </w:r>
      <w:r>
        <w:rPr>
          <w:szCs w:val="20"/>
        </w:rPr>
        <w:t xml:space="preserve">); LaboSys_BLL/bllItemGrupo.cs (grupos)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LaboSys_DAL/dalRelatorio.cs:1800-1880 (</w:t>
      </w:r>
      <w:r>
        <w:rPr>
          <w:szCs w:val="20"/>
        </w:rPr>
        <w:t xml:space="preserve">retornaListaAquisicaoMaterial</w:t>
      </w:r>
      <w:r>
        <w:rPr>
          <w:szCs w:val="20"/>
        </w:rPr>
        <w:t xml:space="preserve">); LaboSys_Model/RptEntradaSaidaMaterial.cs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Hsolutions.Estoque.DB/Tables/TBL_MOVIMENTACAO.sql, TBL_MOVIMENTACAO_ITEM.sql, TBL_TIPO_MOVIMENTACAO (tipos em dml.sql:446-586), TBL_ITEM.sql, TBL_ITEM_SUBGRUPO, TBL_ITEM_GRUPO, TBL_NOTA_FISCAL_ESTOQUE, Views/VW_GRUPO_USUARIO_ITEM.sql, SIS_CONFIGURACAO.sql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que diz quanto de cada material entrou na fábrica em um período, por documento e por valor. Serve para compras, para o fechamento e para conferir o recebimento.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lê as entradas gravadas pelas telas de recebimento, devolução, produção e outras. É o único relatório do menu que usa o grupo de usuário da sessão para restringir os itens (RN-EST-REL17-005). A RDC 658/2022 não pede o relatório, mas exige que o recebimento de material seja registrado (arts. 140 e 141) e que os registros sejam precisos (art. 116).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mostra pontos que mudam o valor impresso: o valor total usa o maior custo do grupo (RN-EST-REL17-003), "aquisição" inclui devolução e entrada de produção (RN-EST-REL17-002) e o relatório não tem filtro de lixeira (RN-EST-REL17-005).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Recebimento e Entradas:</w:t>
      </w:r>
      <w:r>
        <w:rPr>
          <w:szCs w:val="20"/>
        </w:rPr>
        <w:t xml:space="preserve"> o relatório depende de o recebimento gravar a nota fiscal e o custo em cada entrada; entrada sem custo sai com valor zero.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Compras e financeiro:</w:t>
      </w:r>
      <w:r>
        <w:rPr>
          <w:szCs w:val="20"/>
        </w:rPr>
        <w:t xml:space="preserve"> usam a quantidade e o valor por documento; o maior custo e a inclusão de devolução distorcem o número.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rastreabilidade do que entrou está nas telas de recebimento; este relatório só resume o valor.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não é relatório que a RDC 658 peça; entra como evidência de controle do recebimento (leitura da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não foi testada e não há DV-EST registrado para ela. DV-EST-008 e DV-EST-057 foram vistos em outras telas.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2"/>
        <w:gridCol w:w="2024"/>
        <w:gridCol w:w="1641"/>
        <w:gridCol w:w="1381"/>
        <w:gridCol w:w="3353"/>
      </w:tblGrid>
      <w:tr>
        <w:trPr>
          <w:tblHeader/>
          <w:cantSplit/>
        </w:trPr>
        <w:tc>
          <w:tcPr>
            <w:tcW w:w="1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provável</w:t>
            </w:r>
          </w:p>
        </w:tc>
        <w:tc>
          <w:tcPr>
            <w:tcW w:w="3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F-REL17-1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total é a quantidade somada × o maior custo; custos diferentes no mesmo item, documento e dia dão total errado</w:t>
            </w:r>
          </w:p>
        </w:tc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Somar quantidade × custo de cada linha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se confirmado (valor de aquisição errado)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dalRelatorio.cs:1814-1817</w:t>
            </w:r>
          </w:p>
        </w:tc>
      </w:tr>
      <w:tr>
        <w:trPr>
          <w:cantSplit/>
        </w:trPr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F-REL17-2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"Aquisição" inclui devolução, outras entradas e entrada de produção; a lista de tipos excluídos é de números fixos no código</w:t>
            </w:r>
          </w:p>
        </w:tc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entradas de compra, ou colunas por tipo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dalRelatorio.cs:1836</w:t>
            </w:r>
          </w:p>
        </w:tc>
      </w:tr>
      <w:tr>
        <w:trPr>
          <w:cantSplit/>
        </w:trPr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F-REL17-3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filtro de lixeira da movimentação: entrada excluída pode continuar somando</w:t>
            </w:r>
          </w:p>
        </w:tc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Ignorar o que foi excluído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dalRelatorio.cs:1835-1837</w:t>
            </w:r>
          </w:p>
        </w:tc>
      </w:tr>
      <w:tr>
        <w:trPr>
          <w:cantSplit/>
        </w:trPr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F-REL17-4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uma das duas datas for vazia no endereço, o relatório traz todo o histórico, sem aviso</w:t>
            </w:r>
          </w:p>
        </w:tc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período incompleto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(a tela já recusa; vale para o endereço)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dalRelatorio.cs:1851</w:t>
            </w:r>
          </w:p>
        </w:tc>
      </w:tr>
      <w:tr>
        <w:trPr>
          <w:cantSplit/>
        </w:trPr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F-REL17-5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mostra o fornecedor da entrada</w:t>
            </w:r>
          </w:p>
        </w:tc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por documento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dalRelatorio.cs:1801-1830</w:t>
            </w:r>
          </w:p>
        </w:tc>
      </w:tr>
      <w:tr>
        <w:trPr>
          <w:cantSplit/>
        </w:trPr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F-REL17-6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documento sem nota fiscal e sem Referência sai em branco</w:t>
            </w:r>
          </w:p>
        </w:tc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Identificar a movimentação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dalRelatorio.cs:1810-1812</w:t>
            </w:r>
          </w:p>
        </w:tc>
      </w:tr>
      <w:tr>
        <w:trPr>
          <w:cantSplit/>
        </w:trPr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F-REL17-7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modelo não declara idioma: data da emissão e valores podem sair em formato americano (DV-EST-057)</w:t>
            </w:r>
          </w:p>
        </w:tc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brasileiro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(valores)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RPT_AQUISICAO_MATERIAL_GRUPO.rdlc (sem o elemento Language); DV-EST-057</w:t>
            </w:r>
          </w:p>
        </w:tc>
      </w:tr>
      <w:tr>
        <w:trPr>
          <w:cantSplit/>
        </w:trPr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F-REL17-8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imprime usuário e não grava a emissão</w:t>
            </w:r>
          </w:p>
        </w:tc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Rastrear quem emitiu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RPT_AQUISICAO_MATERIAL_GRUPO.rdlc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alto da tela diz "Relatório - Aquisição de Material"; o menu diz "Aquisição de Material" e o relatório diz "Aquisições de Materiais por Grupo".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"Relatório; sem fluxo documentado": nenhum dos dez fluxos descreve este relatório. O fluxo de Recebimento é a origem das entradas por nota fiscal, que são a parte mais clara do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se chama de "aquisição", mas inclui devolução, outras entradas e entrada de produção (RN-EST-REL17-002).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Mapa de Movimentação (tela 15) tem uma coluna "Aquisição" que soma todas as entradas, inclusive movimentos internos; os dois relatórios usam o mesmo nome para contas diferentes e não devem dar o mesmo total para o mesmo mês.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relAquisicaoMat</w:t>
      </w:r>
      <w:r>
        <w:rPr>
          <w:szCs w:val="20"/>
        </w:rPr>
        <w:t xml:space="preserve"> (LaboSys_UI/relatorios/rel_aquisicao_material_lst.aspx.cs:13). No catálogo de funções ela é só um ponto do menu Relatórios: as seis marcas de função (incluir, alterar, excluir, imprimir ou Excel, ver log e a de criar todas) estão em "N", então </w:t>
      </w:r>
      <w:r>
        <w:rPr>
          <w:b/>
          <w:bCs/>
          <w:szCs w:val="20"/>
        </w:rPr>
        <w:t xml:space="preserve">não existe função de consultar, de imprimir nem de ver log para esta tela</w:t>
      </w:r>
      <w:r>
        <w:rPr>
          <w:szCs w:val="20"/>
        </w:rPr>
        <w:t xml:space="preserve"> (dml.sql:1938; criação das funções em dml.sql:2085-2225). Quem tem o ponto de menu no perfil abre a tela; não há grau menor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base das telas de lista só mostra ou esconde botões conforme as funções do usuário (ClassePaiLst.cs:130-239). Aqui o botão de gerar não depende dessas funções: o trecho que esconderia os botões de quem não tem função está comentado (ClassePaiLst.cs:95-100).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o usuário sem a função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telas de lista (ClassePaiLst.cs:69-81). Abrir a página pelo endereço não é barrado. SEG-EST-03; DV-EST-008 (Alta), visto em outras telas do Estoque (CT-EST-045 e 065); </w:t>
      </w:r>
      <w:r>
        <w:rPr>
          <w:b/>
          <w:bCs/>
          <w:szCs w:val="20"/>
        </w:rPr>
        <w:t xml:space="preserve">nesta tela não foi testado</w:t>
      </w:r>
      <w:r>
        <w:rPr>
          <w:szCs w:val="20"/>
        </w:rPr>
        <w:t xml:space="preserve"> (caso CT-EST-REL17-S1).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em si abre numa segunda janela, 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. Ela só confere se existe uma sessão aberta (VisualizaRelatorio.aspx.cs:146-158); </w:t>
      </w:r>
      <w:r>
        <w:rPr>
          <w:b/>
          <w:bCs/>
          <w:szCs w:val="20"/>
        </w:rPr>
        <w:t xml:space="preserve">não confere perfil, menu nem a função da tela</w:t>
      </w:r>
      <w:r>
        <w:rPr>
          <w:szCs w:val="20"/>
        </w:rPr>
        <w:t xml:space="preserve">. Quem está autenticado e sabe o endereço e os nomes dos parâmetros consegue gerar este relatório, e qualquer outro da mesma página (a escolha vem do texto </w:t>
      </w:r>
      <w:r>
        <w:rPr>
          <w:szCs w:val="20"/>
        </w:rPr>
        <w:t xml:space="preserve">Relatorio=</w:t>
      </w:r>
      <w:r>
        <w:rPr>
          <w:szCs w:val="20"/>
        </w:rPr>
        <w:t xml:space="preserve"> do endereço, VisualizaRelatorio.aspx.cs:37-142), sem passar pela tela. Leitura do código, a confirmar (CT-EST-REL17-S1).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acesso foi feito nesta tela. O defeito DV-EST-008 (telas do Estoque abrem pelo endereço mesmo quando o menu negou o acesso) foi visto em outras telas operacionais em 07/10 e 13/10/2026 (CT-EST-045, 065, 083, 102, 120, 141, 158, 168 e 178); como esta tela usa a mesma base, o comportamento é esperado aqui também, mas não foi visto.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vão no endereço como texto dia/mês/ano e o servidor as converte com </w:t>
      </w:r>
      <w:r>
        <w:rPr>
          <w:szCs w:val="20"/>
        </w:rPr>
        <w:t xml:space="preserve">DateTime.Parse</w:t>
      </w:r>
      <w:r>
        <w:rPr>
          <w:szCs w:val="20"/>
        </w:rPr>
        <w:t xml:space="preserve">; uma data inválida derruba a página do relatório (dalRelatorio.cs:1852). O grupo do usuário enviado no endereço não é usado: o relatório usa o da sessão (VisualizaRelatorio.aspx.cs:867).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de item é convertido em número (VisualizaRelatorio.aspx.cs:831-832). As assinaturas, o cliente e o logotipo vêm da configuração (VisualizaRelatorio.aspx.cs:851-862).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Grupo, empresa e grupo do usuário são números (dalRelatorio.cs:1840-1849) e as datas são convertidas e formatadas antes de entrar na consulta (dalRelatorio.cs:1852). Não há risco de injeção pelo código lido. A falha de conversão sem tratamento é a que resta (ver Erros técnicos).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falha na consulta é trocada por uma única mensagem, "Erro ao gerar o relatório!" (bllRelatorio.cs: cada método de relatório tem um </w:t>
      </w:r>
      <w:r>
        <w:rPr>
          <w:szCs w:val="20"/>
        </w:rPr>
        <w:t xml:space="preserve">catch</w:t>
      </w:r>
      <w:r>
        <w:rPr>
          <w:szCs w:val="20"/>
        </w:rPr>
        <w:t xml:space="preserve"> sem tipo que lança essa mensagem). Ela é lançada dentro de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sem tratamento (as chamadas estão no </w:t>
      </w:r>
      <w:r>
        <w:rPr>
          <w:szCs w:val="20"/>
        </w:rPr>
        <w:t xml:space="preserve">Page_Load</w:t>
      </w:r>
      <w:r>
        <w:rPr>
          <w:szCs w:val="20"/>
        </w:rPr>
        <w:t xml:space="preserve">, VisualizaRelatorio.aspx.cs:31-143), por isso a segunda janela pode mostrar a tela de erro do servidor em vez de uma mensagem para o usuário. Leitura do código, a confirmar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mostra o texto do erro interno ao usuário no link "Detalhe do erro (+)" (rel_aquisicao_material_lst.aspx.cs:79-90).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grava quem gerou o relatório, quando e com que filtros: nem a tela nem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escrevem em tabela de log (leitura do código; tela não testada).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0"/>
        <w:gridCol w:w="6077"/>
        <w:gridCol w:w="1424"/>
      </w:tblGrid>
      <w:tr>
        <w:trPr>
          <w:tblHeader/>
          <w:cantSplit/>
        </w:trPr>
        <w:tc>
          <w:tcPr>
            <w:tcW w:w="21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CT-EST-REL17-S1 (Alta)</w:t>
            </w:r>
          </w:p>
        </w:tc>
        <w:tc>
          <w:tcPr>
            <w:tcW w:w="6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o ponto de menu Relatórios, abrir </w:t>
            </w:r>
            <w:r>
              <w:rPr>
                <w:sz w:val="18"/>
                <w:szCs w:val="20"/>
              </w:rPr>
              <w:t xml:space="preserve">VisualizaRelatorio.aspx</w:t>
            </w:r>
            <w:r>
              <w:rPr>
                <w:sz w:val="18"/>
                <w:szCs w:val="20"/>
              </w:rPr>
              <w:t xml:space="preserve"> com o endereço do relatório (Relatorio=RelAquisicaoMaterial, idGrupoItem, dataInicio e dataFim) e os parâmetros da tela. Esperado: acesso negado; não gerar o relatório de dados reais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CT-EST-REL17-S2 (Média)</w:t>
            </w:r>
          </w:p>
        </w:tc>
        <w:tc>
          <w:tcPr>
            <w:tcW w:w="6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endereço da segunda janela, trocar </w:t>
            </w:r>
            <w:r>
              <w:rPr>
                <w:sz w:val="18"/>
                <w:szCs w:val="20"/>
              </w:rPr>
              <w:t xml:space="preserve">dataInicio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dataFim</w:t>
            </w:r>
            <w:r>
              <w:rPr>
                <w:sz w:val="18"/>
                <w:szCs w:val="20"/>
              </w:rPr>
              <w:t xml:space="preserve"> por texto qualquer e conferir se aparece erro técnico com detalhes do servidor. Não executar comandos de alteração.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Aquisição de Material: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Aquisição de Material: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