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Consumo de Material: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18-consumo-de-material.fluxo.json,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Saídas gravadas: solicitações, remessas e saídas de material gravaram movimentações de saída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o período: mês e ano ou datas específicas, e o grupo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válidos? (decisão): sim, abre a janela; não, faixa vermelha com a mensagem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Montar a lista: saídas de consumo dos itens do grupo de usuário, agrupadas por grupo, item, documento, destino e dia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Mostrar no leitor de relatórios, com totais e assinaturas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Conferir, imprimir ou exportar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consulta: </w:t>
      </w:r>
      <w:r>
        <w:rPr>
          <w:b/>
          <w:bCs/>
          <w:szCs w:val="20"/>
        </w:rPr>
        <w:t xml:space="preserve">não tem situações próprias</w:t>
      </w:r>
      <w:r>
        <w:rPr>
          <w:szCs w:val="20"/>
        </w:rPr>
        <w:t xml:space="preserve"> (não há rascunho, aprovação nem versão). O que o relatório traz depende da situação das movimentações: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Movimentação de saída gravada por solicitação concluída, remessa liberada, saída por nota fiscal ou saída por centro de custo: entra (dalRelatorio.cs:2013-2014).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Movimentação interna (inventário, ajuste, transferência, atendimento da solicitação, quarentena): não entra (dalRelatorio.cs:2014).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Movimentação de item na lixeira: não entra (dalRelatorio.cs:2015).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O relatório não grava log nem guarda uma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 o relatório e quando (o "Emitido em" do pé é a hora da execução, mas sem o nome da pessoa; nenhum dos relatórios deste menu recebe o usuário como parâmetro, ao contrário de RC03 e outros, </w:t>
      </w:r>
      <w:r>
        <w:rPr>
          <w:szCs w:val="20"/>
        </w:rPr>
        <w:t xml:space="preserve">VisualizaRelatorio.aspx.cs:217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grupo escolhido: o cabeçalho mostra só o período (VisualizaRelatorio.aspx.cs:913-925).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de cada saída.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05"/>
        <w:gridCol w:w="1645"/>
        <w:gridCol w:w="1632"/>
        <w:gridCol w:w="3249"/>
      </w:tblGrid>
      <w:tr>
        <w:trPr>
          <w:tblHeader/>
          <w:cantSplit/>
        </w:trPr>
        <w:tc>
          <w:tcPr>
            <w:tcW w:w="3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lidas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Quantidade, custo (</w:t>
            </w:r>
            <w:r>
              <w:rPr>
                <w:sz w:val="18"/>
                <w:szCs w:val="20"/>
              </w:rPr>
              <w:t xml:space="preserve">VL_CUSTO</w:t>
            </w:r>
            <w:r>
              <w:rPr>
                <w:sz w:val="18"/>
                <w:szCs w:val="20"/>
              </w:rPr>
              <w:t xml:space="preserve">, obrigatório), </w:t>
            </w:r>
            <w:r>
              <w:rPr>
                <w:sz w:val="18"/>
                <w:szCs w:val="20"/>
              </w:rPr>
              <w:t xml:space="preserve">SAIDA</w:t>
            </w:r>
            <w:r>
              <w:rPr>
                <w:sz w:val="18"/>
                <w:szCs w:val="20"/>
              </w:rPr>
              <w:t xml:space="preserve">, item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movimentação e ao item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TBL_MOVIMENTACAO_ITEM.sql:1-14; dalRelatorio.cs:1985-1989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Data, tipo, solicitação, nota fiscal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tipo, à solicitação e à nota fiscal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TBL_MOVIMENTACAO.sql:4-15; dalRelatorio.cs:1990-1991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tipo (3, 4, 5, 6 e 10 ficam de fora)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sistema 1 a 12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dml.sql:449-522; Constantes.cs:57-68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TBL_UNIDADE_MEDIDA_ESTOQUE, TBL_ITEM_SUBGRUPO, TBL_ITEM_GRUPO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unidade, grupo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subgrupo e grupo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dalRelatorio.cs:1994-2001; TBL_UNIDADE_MEDIDA.sql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TBL_SOLICITACAO, TBL_REMESSA, TBL_CENTRO_CUSTO_ESTOQUE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solicitação e da remessa, centro de custo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Solicitação, remessa e centro de custo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dalRelatorio.cs:2004-2009; TBL_CENTRO_CUSTO.sql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VW_GRUPO_USUARIO_ITEM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do grupo de usuário (via almoxarifado)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Grupo, almoxarifado, item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VW_GRUPO_USUARIO_ITEM.sql; dalRelatorio.cs:2023-2027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e cargo das três assinaturas do relatório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do sistema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SIS_CONFIGURACAO.sql:42-47; VisualizaRelatorio.aspx.cs:911 e 919-924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Nota: o código consulta </w:t>
      </w:r>
      <w:r>
        <w:rPr>
          <w:szCs w:val="20"/>
        </w:rPr>
        <w:t xml:space="preserve">TBL_UNIDADE_MEDIDA_ESTOQUE</w:t>
      </w:r>
      <w:r>
        <w:rPr>
          <w:szCs w:val="20"/>
        </w:rPr>
        <w:t xml:space="preserve">, </w:t>
      </w:r>
      <w:r>
        <w:rPr>
          <w:szCs w:val="20"/>
        </w:rPr>
        <w:t xml:space="preserve">TBL_CENTRO_CUSTO_ESTOQUE</w:t>
      </w:r>
      <w:r>
        <w:rPr>
          <w:szCs w:val="20"/>
        </w:rPr>
        <w:t xml:space="preserve"> e </w:t>
      </w:r>
      <w:r>
        <w:rPr>
          <w:szCs w:val="20"/>
        </w:rPr>
        <w:t xml:space="preserve">TBL_NOTA_FISCAL_ESTOQUE</w:t>
      </w:r>
      <w:r>
        <w:rPr>
          <w:szCs w:val="20"/>
        </w:rPr>
        <w:t xml:space="preserve">, e no projeto de banco os arquivos se chamam </w:t>
      </w:r>
      <w:r>
        <w:rPr>
          <w:szCs w:val="20"/>
        </w:rPr>
        <w:t xml:space="preserve">TBL_UNIDADE_MEDIDA.sql</w:t>
      </w:r>
      <w:r>
        <w:rPr>
          <w:szCs w:val="20"/>
        </w:rPr>
        <w:t xml:space="preserve">, </w:t>
      </w:r>
      <w:r>
        <w:rPr>
          <w:szCs w:val="20"/>
        </w:rPr>
        <w:t xml:space="preserve">TBL_CENTRO_CUSTO.sql</w:t>
      </w:r>
      <w:r>
        <w:rPr>
          <w:szCs w:val="20"/>
        </w:rPr>
        <w:t xml:space="preserve"> e </w:t>
      </w:r>
      <w:r>
        <w:rPr>
          <w:szCs w:val="20"/>
        </w:rPr>
        <w:t xml:space="preserve">TBL_NOTA_FISCAL.sql</w:t>
      </w:r>
      <w:r>
        <w:rPr>
          <w:szCs w:val="20"/>
        </w:rPr>
        <w:t xml:space="preserve">. A diferença de nome não foi investigada (ponto para validar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66"/>
        <w:gridCol w:w="1984"/>
        <w:gridCol w:w="1355"/>
        <w:gridCol w:w="3926"/>
      </w:tblGrid>
      <w:tr>
        <w:trPr>
          <w:tblHeader/>
          <w:cantSplit/>
        </w:trPr>
        <w:tc>
          <w:tcPr>
            <w:tcW w:w="2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 do cliente (cadastro de pessoa jurídica)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 </w:t>
            </w:r>
            <w:r>
              <w:rPr>
                <w:sz w:val="18"/>
                <w:szCs w:val="20"/>
              </w:rPr>
              <w:t xml:space="preserve">GBL_PJ</w:t>
            </w:r>
          </w:p>
        </w:tc>
        <w:tc>
          <w:tcPr>
            <w:tcW w:w="3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dalRelatorio.cs:2010-2011; Synonyms/GBL_PJ.sql</w:t>
            </w:r>
          </w:p>
        </w:tc>
      </w:tr>
      <w:tr>
        <w:trPr>
          <w:cantSplit/>
        </w:trPr>
        <w:tc>
          <w:tcPr>
            <w:tcW w:w="2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Comercial, Rastreabilidade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desta tela</w:t>
            </w:r>
          </w:p>
        </w:tc>
      </w:tr>
      <w:tr>
        <w:trPr>
          <w:cantSplit/>
        </w:trPr>
        <w:tc>
          <w:tcPr>
            <w:tcW w:w="2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Gravações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consulta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Consumo de Material: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Consumo de Material: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