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Relatório: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5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24-entrada-de-material-relatorio.fluxo.json,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Entradas gravadas: recebimento, entrada de material - outras ou produção gravaram movimentações de entrada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Chegar à tela: o menu do código não a mostra; abre pelo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os filtros, todos opcionais, e gerar: a tela não valida nada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entrada que atende aos filtros? (decisão): sim, uma linha por movimentação, nota e item; não, só o cabeçalho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Mostrar no leitor de relatórios, com filtros e "Página x/y"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 contra o recebimento e o histórico do lote;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As entradas listadas podem estar em qualquer situação de recebimento (aguardando conferência, em quarentena, aprovadas); o relatório </w:t>
      </w:r>
      <w:r>
        <w:rPr>
          <w:b/>
          <w:bCs/>
          <w:szCs w:val="20"/>
        </w:rPr>
        <w:t xml:space="preserve">não mostra essa situação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cada entrada e a situação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deu a entrada e quando exatamente.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02"/>
        <w:gridCol w:w="1699"/>
        <w:gridCol w:w="1600"/>
        <w:gridCol w:w="3230"/>
      </w:tblGrid>
      <w:tr>
        <w:trPr>
          <w:tblHeader/>
          <w:cantSplit/>
        </w:trPr>
        <w:tc>
          <w:tcPr>
            <w:tcW w:w="3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nota fiscal</w:t>
            </w:r>
          </w:p>
        </w:tc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tipo e à nota fiscal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TBL_MOVIMENTACAO.sql:4-15; dalRelatorio.cs:2089-2091 e 2101-2105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Quantidade, custo unitário, item</w:t>
            </w:r>
          </w:p>
        </w:tc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movimentação e ao item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dalRelatorio.cs:2097-2099 e 2102-2103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 de entrada e de movimentação interna</w:t>
            </w:r>
          </w:p>
        </w:tc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TBL_TIPO_MOVIMENTACAO.sql; dalRelatorio.cs:2104-2117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TBL_NOTA_FISCAL_ESTOQUE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nota (</w:t>
            </w:r>
            <w:r>
              <w:rPr>
                <w:sz w:val="18"/>
                <w:szCs w:val="20"/>
              </w:rPr>
              <w:t xml:space="preserve">NUM_DOC</w:t>
            </w:r>
            <w:r>
              <w:rPr>
                <w:sz w:val="18"/>
                <w:szCs w:val="20"/>
              </w:rPr>
              <w:t xml:space="preserve">), empenho, fornecedor</w:t>
            </w:r>
          </w:p>
        </w:tc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TBL_NOTA_FISCAL.sql:7, 11 e 44; dalRelatorio.cs:2110-2113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unidade</w:t>
            </w:r>
          </w:p>
        </w:tc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dalRelatorio.cs:2094-2109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TBL_NOTA_FISCAL_ESTOQUE</w:t>
      </w:r>
      <w:r>
        <w:rPr>
          <w:szCs w:val="20"/>
        </w:rPr>
        <w:t xml:space="preserve"> e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, e no projeto de banco os arquivos se chamam </w:t>
      </w:r>
      <w:r>
        <w:rPr>
          <w:szCs w:val="20"/>
        </w:rPr>
        <w:t xml:space="preserve">TBL_NOTA_FISCAL.sql</w:t>
      </w:r>
      <w:r>
        <w:rPr>
          <w:szCs w:val="20"/>
        </w:rPr>
        <w:t xml:space="preserve"> e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8"/>
        <w:gridCol w:w="2354"/>
        <w:gridCol w:w="1387"/>
        <w:gridCol w:w="4442"/>
      </w:tblGrid>
      <w:tr>
        <w:trPr>
          <w:tblHeader/>
          <w:cantSplit/>
        </w:trPr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fornecedor (lista do filtro, relatório e cabeçalho)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bllPJ</w:t>
            </w:r>
          </w:p>
        </w:tc>
        <w:tc>
          <w:tcPr>
            <w:tcW w:w="4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rpt_entradaNf.aspx.cs:25-32; dalRelatorio.cs:2112-2113; VisualizaRelatorio.aspx.cs:1514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Relatório: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Relatório: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