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Por que o Estoque não está apto</w:t>
      </w:r>
    </w:p>
    <w:p w14:paraId="39A786D6" w14:textId="77777777">
      <w:pPr>
        <w:pStyle w:val="versao"/>
        <w:spacing w:line="360" w:lineRule="auto"/>
      </w:pPr>
      <w:r>
        <w:rPr>
          <w:sz w:val="36"/>
          <w:szCs w:val="36"/>
        </w:rPr>
        <w:t xml:space="preserve">Versão </w:t>
      </w:r>
      <w:r>
        <w:rPr>
          <w:iCs/>
          <w:sz w:val="36"/>
          <w:szCs w:val="36"/>
        </w:rPr>
        <w:t>1.4</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Em uma frase:</w:t>
      </w:r>
      <w:r>
        <w:rPr>
          <w:szCs w:val="20"/>
        </w:rPr>
        <w:t xml:space="preserve"> o Estoque (versão 3.5.1, como foi entregue pelo fornecedor) </w:t>
      </w:r>
      <w:r>
        <w:rPr>
          <w:b/>
          <w:bCs/>
          <w:szCs w:val="20"/>
        </w:rPr>
        <w:t xml:space="preserve">registra a entrada, a guarda e a saída dos materiais, mas não controla o que a ANVISA exige controlar</w:t>
      </w:r>
      <w:r>
        <w:rPr>
          <w:szCs w:val="20"/>
        </w:rPr>
        <w:t xml:space="preserve">. Por isso o parecer é </w:t>
      </w:r>
      <w:r>
        <w:rPr>
          <w:b/>
          <w:bCs/>
          <w:szCs w:val="20"/>
        </w:rPr>
        <w:t xml:space="preserve">"não apto para uso em ambiente regulado"</w:t>
      </w:r>
      <w:r>
        <w:rPr>
          <w:szCs w:val="20"/>
        </w:rPr>
        <w:t xml:space="preserve">, até as dez correções obrigatórias abaixo. Os mecanismos essenciais existem, então as falhas podem ser corrigidas sem reconstruir o módulo.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OS NÚMEROS</w:t>
      </w:r>
    </w:p>
    <w:p>
      <w:pPr>
        <w:keepNext/>
        <w:spacing w:after="0" w:line="360" w:lineRule="auto"/>
      </w:pPr>
    </w:p>
    <w:tbl>
      <w:tblPr>
        <w:tblStyle w:val="Tabelacomgrade"/>
        <w:tblW w:w="9631" w:type="dxa"/>
        <w:tblLayout w:type="fixed"/>
        <w:tblLook w:val="04A0" w:firstRow="1" w:lastRow="0" w:firstColumn="1" w:lastColumn="0" w:noHBand="0" w:noVBand="1"/>
      </w:tblPr>
      <w:tblGrid>
        <w:gridCol w:w="2797"/>
        <w:gridCol w:w="6834"/>
      </w:tblGrid>
      <w:tr>
        <w:trPr>
          <w:tblHeader/>
          <w:cantSplit/>
        </w:trPr>
        <w:tc>
          <w:tcPr>
            <w:tcW w:w="2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Medida</w:t>
            </w:r>
          </w:p>
        </w:tc>
        <w:tc>
          <w:tcPr>
            <w:tcW w:w="68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797" w:type="dxa"/>
          </w:tcPr>
          <w:p>
            <w:pPr>
              <w:widowControl/>
              <w:spacing w:after="0" w:line="276" w:lineRule="auto"/>
              <w:jc w:val="left"/>
              <w:rPr>
                <w:sz w:val="18"/>
                <w:szCs w:val="18"/>
              </w:rPr>
            </w:pPr>
            <w:r>
              <w:rPr>
                <w:sz w:val="18"/>
                <w:szCs w:val="20"/>
              </w:rPr>
              <w:t xml:space="preserve">Temas da RDC 658/2022 avaliados</w:t>
            </w:r>
          </w:p>
        </w:tc>
        <w:tc>
          <w:tcPr>
            <w:tcW w:w="6834" w:type="dxa"/>
          </w:tcPr>
          <w:p>
            <w:pPr>
              <w:widowControl/>
              <w:spacing w:after="0" w:line="276" w:lineRule="auto"/>
              <w:jc w:val="left"/>
              <w:rPr>
                <w:sz w:val="18"/>
                <w:szCs w:val="18"/>
              </w:rPr>
            </w:pPr>
            <w:r>
              <w:rPr>
                <w:sz w:val="18"/>
                <w:b/>
                <w:bCs/>
                <w:szCs w:val="20"/>
              </w:rPr>
              <w:t xml:space="preserve">14</w:t>
            </w:r>
            <w:r>
              <w:rPr>
                <w:sz w:val="18"/>
                <w:szCs w:val="20"/>
              </w:rPr>
              <w:t xml:space="preserve">: nenhum atendido por completo; 5 em parte, 8 não atendidos e 1 não verificado</w:t>
            </w:r>
          </w:p>
        </w:tc>
      </w:tr>
      <w:tr>
        <w:trPr>
          <w:cantSplit/>
        </w:trPr>
        <w:tc>
          <w:tcPr>
            <w:tcW w:w="2797" w:type="dxa"/>
          </w:tcPr>
          <w:p>
            <w:pPr>
              <w:widowControl/>
              <w:spacing w:after="0" w:line="276" w:lineRule="auto"/>
              <w:jc w:val="left"/>
              <w:rPr>
                <w:sz w:val="18"/>
                <w:szCs w:val="18"/>
              </w:rPr>
            </w:pPr>
            <w:r>
              <w:rPr>
                <w:sz w:val="18"/>
                <w:szCs w:val="20"/>
              </w:rPr>
              <w:t xml:space="preserve">Casos de teste com resultado</w:t>
            </w:r>
          </w:p>
        </w:tc>
        <w:tc>
          <w:tcPr>
            <w:tcW w:w="6834" w:type="dxa"/>
          </w:tcPr>
          <w:p>
            <w:pPr>
              <w:widowControl/>
              <w:spacing w:after="0" w:line="276" w:lineRule="auto"/>
              <w:jc w:val="left"/>
              <w:rPr>
                <w:sz w:val="18"/>
                <w:szCs w:val="18"/>
              </w:rPr>
            </w:pPr>
            <w:r>
              <w:rPr>
                <w:sz w:val="18"/>
                <w:b/>
                <w:bCs/>
                <w:szCs w:val="20"/>
              </w:rPr>
              <w:t xml:space="preserve">149 de 162</w:t>
            </w:r>
            <w:r>
              <w:rPr>
                <w:sz w:val="18"/>
                <w:szCs w:val="20"/>
              </w:rPr>
              <w:t xml:space="preserve">, em onze rodadas (07 a 22/10/2026); 44 dos 46 de prioridade alta</w:t>
            </w:r>
          </w:p>
        </w:tc>
      </w:tr>
      <w:tr>
        <w:trPr>
          <w:cantSplit/>
        </w:trPr>
        <w:tc>
          <w:tcPr>
            <w:tcW w:w="2797" w:type="dxa"/>
          </w:tcPr>
          <w:p>
            <w:pPr>
              <w:widowControl/>
              <w:spacing w:after="0" w:line="276" w:lineRule="auto"/>
              <w:jc w:val="left"/>
              <w:rPr>
                <w:sz w:val="18"/>
                <w:szCs w:val="18"/>
              </w:rPr>
            </w:pPr>
            <w:r>
              <w:rPr>
                <w:sz w:val="18"/>
                <w:szCs w:val="20"/>
              </w:rPr>
              <w:t xml:space="preserve">Defeitos para correção</w:t>
            </w:r>
          </w:p>
        </w:tc>
        <w:tc>
          <w:tcPr>
            <w:tcW w:w="6834" w:type="dxa"/>
          </w:tcPr>
          <w:p>
            <w:pPr>
              <w:widowControl/>
              <w:spacing w:after="0" w:line="276" w:lineRule="auto"/>
              <w:jc w:val="left"/>
              <w:rPr>
                <w:sz w:val="18"/>
                <w:szCs w:val="18"/>
              </w:rPr>
            </w:pPr>
            <w:r>
              <w:rPr>
                <w:sz w:val="18"/>
                <w:b/>
                <w:bCs/>
                <w:szCs w:val="20"/>
              </w:rPr>
              <w:t xml:space="preserve">76</w:t>
            </w:r>
            <w:r>
              <w:rPr>
                <w:sz w:val="18"/>
                <w:szCs w:val="20"/>
              </w:rPr>
              <w:t xml:space="preserve">: 21 de gravidade alta, 40 média e 15 baixa; 10 são de acesso e segurança (18 deles da rodada 8, 2 da rodada 9, 6 da rodada 10 e 4 da rodada 11, de 22/10/2026)</w:t>
            </w:r>
          </w:p>
        </w:tc>
      </w:tr>
      <w:tr>
        <w:trPr>
          <w:cantSplit/>
        </w:trPr>
        <w:tc>
          <w:tcPr>
            <w:tcW w:w="2797" w:type="dxa"/>
          </w:tcPr>
          <w:p>
            <w:pPr>
              <w:widowControl/>
              <w:spacing w:after="0" w:line="276" w:lineRule="auto"/>
              <w:jc w:val="left"/>
              <w:rPr>
                <w:sz w:val="18"/>
                <w:szCs w:val="18"/>
              </w:rPr>
            </w:pPr>
            <w:r>
              <w:rPr>
                <w:sz w:val="18"/>
                <w:szCs w:val="20"/>
              </w:rPr>
              <w:t xml:space="preserve">Telas (98 no inventário)</w:t>
            </w:r>
          </w:p>
        </w:tc>
        <w:tc>
          <w:tcPr>
            <w:tcW w:w="6834" w:type="dxa"/>
          </w:tcPr>
          <w:p>
            <w:pPr>
              <w:widowControl/>
              <w:spacing w:after="0" w:line="276" w:lineRule="auto"/>
              <w:jc w:val="left"/>
              <w:rPr>
                <w:sz w:val="18"/>
                <w:szCs w:val="18"/>
              </w:rPr>
            </w:pPr>
            <w:r>
              <w:rPr>
                <w:sz w:val="18"/>
                <w:szCs w:val="20"/>
              </w:rPr>
              <w:t xml:space="preserve">15 funcionam; 32 funcionam com falhas; 11 com falha grave; 5 bloqueadas no teste; 35 não testadas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POR QUE NÃO ESTÁ APTO</w:t>
      </w:r>
    </w:p>
    <w:p>
      <w:pPr>
        <w:keepNext/>
        <w:spacing w:after="0" w:line="360" w:lineRule="auto"/>
      </w:pPr>
    </w:p>
    <w:tbl>
      <w:tblPr>
        <w:tblStyle w:val="Tabelacomgrade"/>
        <w:tblW w:w="9631" w:type="dxa"/>
        <w:tblLayout w:type="fixed"/>
        <w:tblLook w:val="04A0" w:firstRow="1" w:lastRow="0" w:firstColumn="1" w:lastColumn="0" w:noHBand="0" w:noVBand="1"/>
      </w:tblPr>
      <w:tblGrid>
        <w:gridCol w:w="5124"/>
        <w:gridCol w:w="3007"/>
        <w:gridCol w:w="1500"/>
      </w:tblGrid>
      <w:tr>
        <w:trPr>
          <w:tblHeader/>
          <w:cantSplit/>
        </w:trPr>
        <w:tc>
          <w:tcPr>
            <w:tcW w:w="5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 encontrado</w:t>
            </w:r>
          </w:p>
        </w:tc>
        <w:tc>
          <w:tcPr>
            <w:tcW w:w="30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r>
      <w:tr>
        <w:trPr>
          <w:cantSplit/>
        </w:trPr>
        <w:tc>
          <w:tcPr>
            <w:tcW w:w="5124" w:type="dxa"/>
          </w:tcPr>
          <w:p>
            <w:pPr>
              <w:widowControl/>
              <w:spacing w:after="0" w:line="276" w:lineRule="auto"/>
              <w:jc w:val="left"/>
              <w:rPr>
                <w:sz w:val="18"/>
                <w:szCs w:val="18"/>
              </w:rPr>
            </w:pPr>
            <w:r>
              <w:rPr>
                <w:sz w:val="18"/>
                <w:szCs w:val="20"/>
              </w:rPr>
              <w:t xml:space="preserve">O </w:t>
            </w:r>
            <w:r>
              <w:rPr>
                <w:sz w:val="18"/>
                <w:b/>
                <w:bCs/>
                <w:szCs w:val="20"/>
              </w:rPr>
              <w:t xml:space="preserve">Endereçamento diz "sucesso" e não grava</w:t>
            </w:r>
            <w:r>
              <w:rPr>
                <w:sz w:val="18"/>
                <w:szCs w:val="20"/>
              </w:rPr>
              <w:t xml:space="preserve">: pelo recebimento, o lote não chega à quarentena nem ao CQ</w:t>
            </w:r>
          </w:p>
        </w:tc>
        <w:tc>
          <w:tcPr>
            <w:tcW w:w="3007" w:type="dxa"/>
          </w:tcPr>
          <w:p>
            <w:pPr>
              <w:widowControl/>
              <w:spacing w:after="0" w:line="276" w:lineRule="auto"/>
              <w:jc w:val="left"/>
              <w:rPr>
                <w:sz w:val="18"/>
                <w:szCs w:val="18"/>
              </w:rPr>
            </w:pPr>
            <w:r>
              <w:rPr>
                <w:sz w:val="18"/>
                <w:szCs w:val="20"/>
              </w:rPr>
              <w:t xml:space="preserve">O sistema afirma o que não aconteceu. A causa está no banco e depende do DBA</w:t>
            </w:r>
          </w:p>
        </w:tc>
        <w:tc>
          <w:tcPr>
            <w:tcW w:w="1500" w:type="dxa"/>
          </w:tcPr>
          <w:p>
            <w:pPr>
              <w:widowControl/>
              <w:spacing w:after="0" w:line="276" w:lineRule="auto"/>
              <w:jc w:val="left"/>
              <w:rPr>
                <w:sz w:val="18"/>
                <w:szCs w:val="18"/>
              </w:rPr>
            </w:pPr>
            <w:r>
              <w:rPr>
                <w:sz w:val="18"/>
                <w:szCs w:val="20"/>
              </w:rPr>
              <w:t xml:space="preserve">RDC 658/2022, art. 124</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avaliação do fornecedor não aprova nem bloqueia</w:t>
            </w:r>
            <w:r>
              <w:rPr>
                <w:sz w:val="18"/>
                <w:szCs w:val="20"/>
              </w:rPr>
              <w:t xml:space="preserve"> ninguém</w:t>
            </w:r>
          </w:p>
        </w:tc>
        <w:tc>
          <w:tcPr>
            <w:tcW w:w="3007" w:type="dxa"/>
          </w:tcPr>
          <w:p>
            <w:pPr>
              <w:widowControl/>
              <w:spacing w:after="0" w:line="276" w:lineRule="auto"/>
              <w:jc w:val="left"/>
              <w:rPr>
                <w:sz w:val="18"/>
                <w:szCs w:val="18"/>
              </w:rPr>
            </w:pPr>
            <w:r>
              <w:rPr>
                <w:sz w:val="18"/>
                <w:szCs w:val="20"/>
              </w:rPr>
              <w:t xml:space="preserve">Material de fonte não qualificada entra na fábrica</w:t>
            </w:r>
          </w:p>
        </w:tc>
        <w:tc>
          <w:tcPr>
            <w:tcW w:w="1500" w:type="dxa"/>
          </w:tcPr>
          <w:p>
            <w:pPr>
              <w:widowControl/>
              <w:spacing w:after="0" w:line="276" w:lineRule="auto"/>
              <w:jc w:val="left"/>
              <w:rPr>
                <w:sz w:val="18"/>
                <w:szCs w:val="18"/>
              </w:rPr>
            </w:pPr>
            <w:r>
              <w:rPr>
                <w:sz w:val="18"/>
                <w:szCs w:val="20"/>
              </w:rPr>
              <w:t xml:space="preserve">Art. 8º, VI</w:t>
            </w:r>
          </w:p>
        </w:tc>
      </w:tr>
      <w:tr>
        <w:trPr>
          <w:cantSplit/>
        </w:trPr>
        <w:tc>
          <w:tcPr>
            <w:tcW w:w="5124" w:type="dxa"/>
          </w:tcPr>
          <w:p>
            <w:pPr>
              <w:widowControl/>
              <w:spacing w:after="0" w:line="276" w:lineRule="auto"/>
              <w:jc w:val="left"/>
              <w:rPr>
                <w:sz w:val="18"/>
                <w:szCs w:val="18"/>
              </w:rPr>
            </w:pPr>
            <w:r>
              <w:rPr>
                <w:sz w:val="18"/>
                <w:b/>
                <w:bCs/>
                <w:szCs w:val="20"/>
              </w:rPr>
              <w:t xml:space="preserve">Lote vencido</w:t>
            </w:r>
            <w:r>
              <w:rPr>
                <w:sz w:val="18"/>
                <w:szCs w:val="20"/>
              </w:rPr>
              <w:t xml:space="preserve"> é aceito no recebimento e na entrada de produto acabado</w:t>
            </w:r>
          </w:p>
        </w:tc>
        <w:tc>
          <w:tcPr>
            <w:tcW w:w="3007" w:type="dxa"/>
          </w:tcPr>
          <w:p>
            <w:pPr>
              <w:widowControl/>
              <w:spacing w:after="0" w:line="276" w:lineRule="auto"/>
              <w:jc w:val="left"/>
              <w:rPr>
                <w:sz w:val="18"/>
                <w:szCs w:val="18"/>
              </w:rPr>
            </w:pPr>
            <w:r>
              <w:rPr>
                <w:sz w:val="18"/>
                <w:szCs w:val="20"/>
              </w:rPr>
              <w:t xml:space="preserve">Material fora da validade no estoque</w:t>
            </w:r>
          </w:p>
        </w:tc>
        <w:tc>
          <w:tcPr>
            <w:tcW w:w="1500" w:type="dxa"/>
          </w:tcPr>
          <w:p>
            <w:pPr>
              <w:widowControl/>
              <w:spacing w:after="0" w:line="276" w:lineRule="auto"/>
              <w:jc w:val="left"/>
              <w:rPr>
                <w:sz w:val="18"/>
                <w:szCs w:val="18"/>
              </w:rPr>
            </w:pPr>
            <w:r>
              <w:rPr>
                <w:sz w:val="18"/>
                <w:szCs w:val="20"/>
              </w:rPr>
              <w:t xml:space="preserve">Art. 189</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entrada de produto acabado aceita lote inventado</w:t>
            </w:r>
            <w:r>
              <w:rPr>
                <w:sz w:val="18"/>
                <w:szCs w:val="20"/>
              </w:rPr>
              <w:t xml:space="preserve">, sem ordem de produção</w:t>
            </w:r>
          </w:p>
        </w:tc>
        <w:tc>
          <w:tcPr>
            <w:tcW w:w="3007" w:type="dxa"/>
          </w:tcPr>
          <w:p>
            <w:pPr>
              <w:widowControl/>
              <w:spacing w:after="0" w:line="276" w:lineRule="auto"/>
              <w:jc w:val="left"/>
              <w:rPr>
                <w:sz w:val="18"/>
                <w:szCs w:val="18"/>
              </w:rPr>
            </w:pPr>
            <w:r>
              <w:rPr>
                <w:sz w:val="18"/>
                <w:szCs w:val="20"/>
              </w:rPr>
              <w:t xml:space="preserve">Lote sem origem rastreável</w:t>
            </w:r>
          </w:p>
        </w:tc>
        <w:tc>
          <w:tcPr>
            <w:tcW w:w="1500" w:type="dxa"/>
          </w:tcPr>
          <w:p>
            <w:pPr>
              <w:widowControl/>
              <w:spacing w:after="0" w:line="276" w:lineRule="auto"/>
              <w:jc w:val="left"/>
              <w:rPr>
                <w:sz w:val="18"/>
                <w:szCs w:val="18"/>
              </w:rPr>
            </w:pPr>
            <w:r>
              <w:rPr>
                <w:sz w:val="18"/>
                <w:szCs w:val="20"/>
              </w:rPr>
              <w:t xml:space="preserve">Arts. 124 e 164</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liberação do lote</w:t>
            </w:r>
            <w:r>
              <w:rPr>
                <w:sz w:val="18"/>
                <w:szCs w:val="20"/>
              </w:rPr>
              <w:t xml:space="preserve"> é a aprovação do laudo, por qualquer usuário; reprovar não exige motivo</w:t>
            </w:r>
          </w:p>
        </w:tc>
        <w:tc>
          <w:tcPr>
            <w:tcW w:w="3007" w:type="dxa"/>
          </w:tcPr>
          <w:p>
            <w:pPr>
              <w:widowControl/>
              <w:spacing w:after="0" w:line="276" w:lineRule="auto"/>
              <w:jc w:val="left"/>
              <w:rPr>
                <w:sz w:val="18"/>
                <w:szCs w:val="18"/>
              </w:rPr>
            </w:pPr>
            <w:r>
              <w:rPr>
                <w:sz w:val="18"/>
                <w:szCs w:val="20"/>
              </w:rPr>
              <w:t xml:space="preserve">Decisão crítica sem a pessoa designada e sem prova</w:t>
            </w:r>
          </w:p>
        </w:tc>
        <w:tc>
          <w:tcPr>
            <w:tcW w:w="1500" w:type="dxa"/>
          </w:tcPr>
          <w:p>
            <w:pPr>
              <w:widowControl/>
              <w:spacing w:after="0" w:line="276" w:lineRule="auto"/>
              <w:jc w:val="left"/>
              <w:rPr>
                <w:sz w:val="18"/>
                <w:szCs w:val="18"/>
              </w:rPr>
            </w:pPr>
            <w:r>
              <w:rPr>
                <w:sz w:val="18"/>
                <w:szCs w:val="20"/>
              </w:rPr>
              <w:t xml:space="preserve">Art. 8º, XV</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Movimentação de Quarentena</w:t>
            </w:r>
            <w:r>
              <w:rPr>
                <w:sz w:val="18"/>
                <w:szCs w:val="20"/>
              </w:rPr>
              <w:t xml:space="preserve"> aceita destino incompleto e o saldo do lote aprovado desaparece</w:t>
            </w:r>
          </w:p>
        </w:tc>
        <w:tc>
          <w:tcPr>
            <w:tcW w:w="3007" w:type="dxa"/>
          </w:tcPr>
          <w:p>
            <w:pPr>
              <w:widowControl/>
              <w:spacing w:after="0" w:line="276" w:lineRule="auto"/>
              <w:jc w:val="left"/>
              <w:rPr>
                <w:sz w:val="18"/>
                <w:szCs w:val="18"/>
              </w:rPr>
            </w:pPr>
            <w:r>
              <w:rPr>
                <w:sz w:val="18"/>
                <w:szCs w:val="20"/>
              </w:rPr>
              <w:t xml:space="preserve">Material aprovado some do controle</w:t>
            </w:r>
          </w:p>
        </w:tc>
        <w:tc>
          <w:tcPr>
            <w:tcW w:w="1500" w:type="dxa"/>
          </w:tcPr>
          <w:p>
            <w:pPr>
              <w:widowControl/>
              <w:spacing w:after="0" w:line="276" w:lineRule="auto"/>
              <w:jc w:val="left"/>
              <w:rPr>
                <w:sz w:val="18"/>
                <w:szCs w:val="18"/>
              </w:rPr>
            </w:pPr>
            <w:r>
              <w:rPr>
                <w:sz w:val="18"/>
                <w:szCs w:val="20"/>
              </w:rPr>
              <w:t xml:space="preserve">Art. 124</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remessa da tela comum não finaliza</w:t>
            </w:r>
            <w:r>
              <w:rPr>
                <w:sz w:val="18"/>
                <w:szCs w:val="20"/>
              </w:rPr>
              <w:t xml:space="preserve"> (com o tipo de remessa em GMM finaliza): a expedição fica travada no modo padrão. A remessa gerada por </w:t>
            </w:r>
            <w:r>
              <w:rPr>
                <w:sz w:val="18"/>
                <w:b/>
                <w:bCs/>
                <w:szCs w:val="20"/>
              </w:rPr>
              <w:t xml:space="preserve">kit</w:t>
            </w:r>
            <w:r>
              <w:rPr>
                <w:sz w:val="18"/>
                <w:szCs w:val="20"/>
              </w:rPr>
              <w:t xml:space="preserve"> nasce </w:t>
            </w:r>
            <w:r>
              <w:rPr>
                <w:sz w:val="18"/>
                <w:b/>
                <w:bCs/>
                <w:szCs w:val="20"/>
              </w:rPr>
              <w:t xml:space="preserve">sem Origem</w:t>
            </w:r>
            <w:r>
              <w:rPr>
                <w:sz w:val="18"/>
                <w:szCs w:val="20"/>
              </w:rPr>
              <w:t xml:space="preserve"> (DV-EST-058)</w:t>
            </w:r>
          </w:p>
        </w:tc>
        <w:tc>
          <w:tcPr>
            <w:tcW w:w="3007" w:type="dxa"/>
          </w:tcPr>
          <w:p>
            <w:pPr>
              <w:widowControl/>
              <w:spacing w:after="0" w:line="276" w:lineRule="auto"/>
              <w:jc w:val="left"/>
              <w:rPr>
                <w:sz w:val="18"/>
                <w:szCs w:val="18"/>
              </w:rPr>
            </w:pPr>
            <w:r>
              <w:rPr>
                <w:sz w:val="18"/>
                <w:szCs w:val="20"/>
              </w:rPr>
              <w:t xml:space="preserve">Sem registro de distribuição para um recolhimento, e sem registro de quem e de onde sai o material</w:t>
            </w:r>
          </w:p>
        </w:tc>
        <w:tc>
          <w:tcPr>
            <w:tcW w:w="1500" w:type="dxa"/>
          </w:tcPr>
          <w:p>
            <w:pPr>
              <w:widowControl/>
              <w:spacing w:after="0" w:line="276" w:lineRule="auto"/>
              <w:jc w:val="left"/>
              <w:rPr>
                <w:sz w:val="18"/>
                <w:szCs w:val="18"/>
              </w:rPr>
            </w:pPr>
            <w:r>
              <w:rPr>
                <w:sz w:val="18"/>
                <w:szCs w:val="20"/>
              </w:rPr>
              <w:t xml:space="preserve">Arts. 346 e 347</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Central de Pesagem não abre o volume</w:t>
            </w:r>
            <w:r>
              <w:rPr>
                <w:sz w:val="18"/>
                <w:szCs w:val="20"/>
              </w:rPr>
              <w:t xml:space="preserve"> para informar peso, tara, tag da balança e lacre: dá erro de servidor, mesmo com uma balança de teste cadastrada (DV-EST-067)</w:t>
            </w:r>
          </w:p>
        </w:tc>
        <w:tc>
          <w:tcPr>
            <w:tcW w:w="3007" w:type="dxa"/>
          </w:tcPr>
          <w:p>
            <w:pPr>
              <w:widowControl/>
              <w:spacing w:after="0" w:line="276" w:lineRule="auto"/>
              <w:jc w:val="left"/>
              <w:rPr>
                <w:sz w:val="18"/>
                <w:szCs w:val="18"/>
              </w:rPr>
            </w:pPr>
            <w:r>
              <w:rPr>
                <w:sz w:val="18"/>
                <w:szCs w:val="20"/>
              </w:rPr>
              <w:t xml:space="preserve">A pesagem exigida na saída do insumo não pode ser feita pela tela, e a tela de erro mostra detalhes técnicos ao usuário</w:t>
            </w:r>
          </w:p>
        </w:tc>
        <w:tc>
          <w:tcPr>
            <w:tcW w:w="1500" w:type="dxa"/>
          </w:tcPr>
          <w:p>
            <w:pPr>
              <w:widowControl/>
              <w:spacing w:after="0" w:line="276" w:lineRule="auto"/>
              <w:jc w:val="left"/>
              <w:rPr>
                <w:sz w:val="18"/>
                <w:szCs w:val="18"/>
              </w:rPr>
            </w:pPr>
            <w:r>
              <w:rPr>
                <w:sz w:val="18"/>
                <w:szCs w:val="20"/>
              </w:rPr>
              <w:t xml:space="preserve">RDC 658/2022; Guia 33/2020</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amostra de retenção</w:t>
            </w:r>
            <w:r>
              <w:rPr>
                <w:sz w:val="18"/>
                <w:szCs w:val="20"/>
              </w:rPr>
              <w:t xml:space="preserve"> pode </w:t>
            </w:r>
            <w:r>
              <w:rPr>
                <w:sz w:val="18"/>
                <w:b/>
                <w:bCs/>
                <w:szCs w:val="20"/>
              </w:rPr>
              <w:t xml:space="preserve">sair antes do vencimento do lote</w:t>
            </w:r>
            <w:r>
              <w:rPr>
                <w:sz w:val="18"/>
                <w:szCs w:val="20"/>
              </w:rPr>
              <w:t xml:space="preserve">, sem aviso, sem impedimento e sem justificativa (DV-EST-068); a consulta depende de uma marca do cadastro do Item e a saída falha para o lote </w:t>
            </w:r>
            <w:r>
              <w:rPr>
                <w:sz w:val="18"/>
                <w:szCs w:val="20"/>
              </w:rPr>
              <w:t xml:space="preserve">TESTEPA001</w:t>
            </w:r>
            <w:r>
              <w:rPr>
                <w:sz w:val="18"/>
                <w:szCs w:val="20"/>
              </w:rPr>
              <w:t xml:space="preserve"> (DV-EST-047)</w:t>
            </w:r>
          </w:p>
        </w:tc>
        <w:tc>
          <w:tcPr>
            <w:tcW w:w="3007" w:type="dxa"/>
          </w:tcPr>
          <w:p>
            <w:pPr>
              <w:widowControl/>
              <w:spacing w:after="0" w:line="276" w:lineRule="auto"/>
              <w:jc w:val="left"/>
              <w:rPr>
                <w:sz w:val="18"/>
                <w:szCs w:val="18"/>
              </w:rPr>
            </w:pPr>
            <w:r>
              <w:rPr>
                <w:sz w:val="18"/>
                <w:szCs w:val="20"/>
              </w:rPr>
              <w:t xml:space="preserve">Amostras sem controle pelo prazo de guarda</w:t>
            </w:r>
          </w:p>
        </w:tc>
        <w:tc>
          <w:tcPr>
            <w:tcW w:w="1500" w:type="dxa"/>
          </w:tcPr>
          <w:p>
            <w:pPr>
              <w:widowControl/>
              <w:spacing w:after="0" w:line="276" w:lineRule="auto"/>
              <w:jc w:val="left"/>
              <w:rPr>
                <w:sz w:val="18"/>
                <w:szCs w:val="18"/>
              </w:rPr>
            </w:pPr>
            <w:r>
              <w:rPr>
                <w:sz w:val="18"/>
                <w:szCs w:val="20"/>
              </w:rPr>
              <w:t xml:space="preserve">Art. 14, VIII</w:t>
            </w:r>
          </w:p>
        </w:tc>
      </w:tr>
      <w:tr>
        <w:trPr>
          <w:cantSplit/>
        </w:trPr>
        <w:tc>
          <w:tcPr>
            <w:tcW w:w="5124" w:type="dxa"/>
          </w:tcPr>
          <w:p>
            <w:pPr>
              <w:widowControl/>
              <w:spacing w:after="0" w:line="276" w:lineRule="auto"/>
              <w:jc w:val="left"/>
              <w:rPr>
                <w:sz w:val="18"/>
                <w:szCs w:val="18"/>
              </w:rPr>
            </w:pPr>
            <w:r>
              <w:rPr>
                <w:sz w:val="18"/>
                <w:szCs w:val="20"/>
              </w:rPr>
              <w:t xml:space="preserve">O </w:t>
            </w:r>
            <w:r>
              <w:rPr>
                <w:sz w:val="18"/>
                <w:b/>
                <w:bCs/>
                <w:szCs w:val="20"/>
              </w:rPr>
              <w:t xml:space="preserve">Item não mostra o prazo de reanálise</w:t>
            </w:r>
            <w:r>
              <w:rPr>
                <w:sz w:val="18"/>
                <w:szCs w:val="20"/>
              </w:rPr>
              <w:t xml:space="preserve">; a agenda de reanálise não tem o que agendar</w:t>
            </w:r>
          </w:p>
        </w:tc>
        <w:tc>
          <w:tcPr>
            <w:tcW w:w="3007" w:type="dxa"/>
          </w:tcPr>
          <w:p>
            <w:pPr>
              <w:widowControl/>
              <w:spacing w:after="0" w:line="276" w:lineRule="auto"/>
              <w:jc w:val="left"/>
              <w:rPr>
                <w:sz w:val="18"/>
                <w:szCs w:val="18"/>
              </w:rPr>
            </w:pPr>
            <w:r>
              <w:rPr>
                <w:sz w:val="18"/>
                <w:szCs w:val="20"/>
              </w:rPr>
              <w:t xml:space="preserve">Matéria-prima usada depois da data de reteste</w:t>
            </w:r>
          </w:p>
        </w:tc>
        <w:tc>
          <w:tcPr>
            <w:tcW w:w="1500" w:type="dxa"/>
          </w:tcPr>
          <w:p>
            <w:pPr>
              <w:widowControl/>
              <w:spacing w:after="0" w:line="276" w:lineRule="auto"/>
              <w:jc w:val="left"/>
              <w:rPr>
                <w:sz w:val="18"/>
                <w:szCs w:val="18"/>
              </w:rPr>
            </w:pPr>
            <w:r>
              <w:rPr>
                <w:sz w:val="18"/>
                <w:szCs w:val="20"/>
              </w:rPr>
              <w:t xml:space="preserve">Art. 189</w:t>
            </w:r>
          </w:p>
        </w:tc>
      </w:tr>
      <w:tr>
        <w:trPr>
          <w:cantSplit/>
        </w:trPr>
        <w:tc>
          <w:tcPr>
            <w:tcW w:w="5124" w:type="dxa"/>
          </w:tcPr>
          <w:p>
            <w:pPr>
              <w:widowControl/>
              <w:spacing w:after="0" w:line="276" w:lineRule="auto"/>
              <w:jc w:val="left"/>
              <w:rPr>
                <w:sz w:val="18"/>
                <w:szCs w:val="18"/>
              </w:rPr>
            </w:pPr>
            <w:r>
              <w:rPr>
                <w:sz w:val="18"/>
                <w:szCs w:val="20"/>
              </w:rPr>
              <w:t xml:space="preserve">O </w:t>
            </w:r>
            <w:r>
              <w:rPr>
                <w:sz w:val="18"/>
                <w:b/>
                <w:bCs/>
                <w:szCs w:val="20"/>
              </w:rPr>
              <w:t xml:space="preserve">Atendimento à produção não ordena os lotes por validade</w:t>
            </w:r>
            <w:r>
              <w:rPr>
                <w:sz w:val="18"/>
                <w:szCs w:val="20"/>
              </w:rPr>
              <w:t xml:space="preserve"> e aceita o que vence depois, sem aviso nem justificativa (DV-EST-048). No atendimento de um </w:t>
            </w:r>
            <w:r>
              <w:rPr>
                <w:sz w:val="18"/>
                <w:b/>
                <w:bCs/>
                <w:szCs w:val="20"/>
              </w:rPr>
              <w:t xml:space="preserve">kit</w:t>
            </w:r>
            <w:r>
              <w:rPr>
                <w:sz w:val="18"/>
                <w:szCs w:val="20"/>
              </w:rPr>
              <w:t xml:space="preserve">, um lote com 31 dias de validade foi aceito com validade mínima de 180 dias (DV-EST-056)</w:t>
            </w:r>
          </w:p>
        </w:tc>
        <w:tc>
          <w:tcPr>
            <w:tcW w:w="3007" w:type="dxa"/>
          </w:tcPr>
          <w:p>
            <w:pPr>
              <w:widowControl/>
              <w:spacing w:after="0" w:line="276" w:lineRule="auto"/>
              <w:jc w:val="left"/>
              <w:rPr>
                <w:sz w:val="18"/>
                <w:szCs w:val="18"/>
              </w:rPr>
            </w:pPr>
            <w:r>
              <w:rPr>
                <w:sz w:val="18"/>
                <w:szCs w:val="20"/>
              </w:rPr>
              <w:t xml:space="preserve">Material de validade curta usado depois do que vence primeiro, ou entregue ao cliente fora do mínimo combinado</w:t>
            </w:r>
          </w:p>
        </w:tc>
        <w:tc>
          <w:tcPr>
            <w:tcW w:w="1500" w:type="dxa"/>
          </w:tcPr>
          <w:p>
            <w:pPr>
              <w:widowControl/>
              <w:spacing w:after="0" w:line="276" w:lineRule="auto"/>
              <w:jc w:val="left"/>
              <w:rPr>
                <w:sz w:val="18"/>
                <w:szCs w:val="18"/>
              </w:rPr>
            </w:pPr>
            <w:r>
              <w:rPr>
                <w:sz w:val="18"/>
                <w:szCs w:val="20"/>
              </w:rPr>
              <w:t xml:space="preserve">Art. 189</w:t>
            </w:r>
          </w:p>
        </w:tc>
      </w:tr>
      <w:tr>
        <w:trPr>
          <w:cantSplit/>
        </w:trPr>
        <w:tc>
          <w:tcPr>
            <w:tcW w:w="5124" w:type="dxa"/>
          </w:tcPr>
          <w:p>
            <w:pPr>
              <w:widowControl/>
              <w:spacing w:after="0" w:line="276" w:lineRule="auto"/>
              <w:jc w:val="left"/>
              <w:rPr>
                <w:sz w:val="18"/>
                <w:szCs w:val="18"/>
              </w:rPr>
            </w:pPr>
            <w:r>
              <w:rPr>
                <w:sz w:val="18"/>
                <w:szCs w:val="20"/>
              </w:rPr>
              <w:t xml:space="preserve">No </w:t>
            </w:r>
            <w:r>
              <w:rPr>
                <w:sz w:val="18"/>
                <w:b/>
                <w:bCs/>
                <w:szCs w:val="20"/>
              </w:rPr>
              <w:t xml:space="preserve">inventário, a mesma pessoa conta três vezes, justifica e apura</w:t>
            </w:r>
            <w:r>
              <w:rPr>
                <w:sz w:val="18"/>
                <w:szCs w:val="20"/>
              </w:rPr>
              <w:t xml:space="preserve"> (DV-EST-049); </w:t>
            </w:r>
            <w:r>
              <w:rPr>
                <w:sz w:val="18"/>
                <w:b/>
                <w:bCs/>
                <w:szCs w:val="20"/>
              </w:rPr>
              <w:t xml:space="preserve">cancelar o inventário</w:t>
            </w:r>
            <w:r>
              <w:rPr>
                <w:sz w:val="18"/>
                <w:szCs w:val="20"/>
              </w:rPr>
              <w:t xml:space="preserve"> (DV-EST-050) e </w:t>
            </w:r>
            <w:r>
              <w:rPr>
                <w:sz w:val="18"/>
                <w:b/>
                <w:bCs/>
                <w:szCs w:val="20"/>
              </w:rPr>
              <w:t xml:space="preserve">cancelar um atendimento</w:t>
            </w:r>
            <w:r>
              <w:rPr>
                <w:sz w:val="18"/>
                <w:szCs w:val="20"/>
              </w:rPr>
              <w:t xml:space="preserve"> (DV-EST-061) não pedem justificativa, e o cancelamento do atendimento nem aparece no histórico do lote; a </w:t>
            </w:r>
            <w:r>
              <w:rPr>
                <w:sz w:val="18"/>
                <w:b/>
                <w:bCs/>
                <w:szCs w:val="20"/>
              </w:rPr>
              <w:t xml:space="preserve">Aprovação de Solicitação</w:t>
            </w:r>
            <w:r>
              <w:rPr>
                <w:sz w:val="18"/>
                <w:szCs w:val="20"/>
              </w:rPr>
              <w:t xml:space="preserve"> aceita quem criou a solicitação (DV-EST-070)</w:t>
            </w:r>
          </w:p>
        </w:tc>
        <w:tc>
          <w:tcPr>
            <w:tcW w:w="3007" w:type="dxa"/>
          </w:tcPr>
          <w:p>
            <w:pPr>
              <w:widowControl/>
              <w:spacing w:after="0" w:line="276" w:lineRule="auto"/>
              <w:jc w:val="left"/>
              <w:rPr>
                <w:sz w:val="18"/>
                <w:szCs w:val="18"/>
              </w:rPr>
            </w:pPr>
            <w:r>
              <w:rPr>
                <w:sz w:val="18"/>
                <w:szCs w:val="20"/>
              </w:rPr>
              <w:t xml:space="preserve">Ajuste de saldo sem separação de funções e sem prova de quem fez e por quê</w:t>
            </w:r>
          </w:p>
        </w:tc>
        <w:tc>
          <w:tcPr>
            <w:tcW w:w="1500" w:type="dxa"/>
          </w:tcPr>
          <w:p>
            <w:pPr>
              <w:widowControl/>
              <w:spacing w:after="0" w:line="276" w:lineRule="auto"/>
              <w:jc w:val="left"/>
              <w:rPr>
                <w:sz w:val="18"/>
                <w:szCs w:val="18"/>
              </w:rPr>
            </w:pPr>
            <w:r>
              <w:rPr>
                <w:sz w:val="18"/>
                <w:szCs w:val="20"/>
              </w:rPr>
              <w:t xml:space="preserve">Art. 124; Guia 33/2020</w:t>
            </w:r>
          </w:p>
        </w:tc>
      </w:tr>
      <w:tr>
        <w:trPr>
          <w:cantSplit/>
        </w:trPr>
        <w:tc>
          <w:tcPr>
            <w:tcW w:w="5124" w:type="dxa"/>
          </w:tcPr>
          <w:p>
            <w:pPr>
              <w:widowControl/>
              <w:spacing w:after="0" w:line="276" w:lineRule="auto"/>
              <w:jc w:val="left"/>
              <w:rPr>
                <w:sz w:val="18"/>
                <w:szCs w:val="18"/>
              </w:rPr>
            </w:pPr>
            <w:r>
              <w:rPr>
                <w:sz w:val="18"/>
                <w:szCs w:val="20"/>
              </w:rPr>
              <w:t xml:space="preserve">Telas que </w:t>
            </w:r>
            <w:r>
              <w:rPr>
                <w:sz w:val="18"/>
                <w:b/>
                <w:bCs/>
                <w:szCs w:val="20"/>
              </w:rPr>
              <w:t xml:space="preserve">dizem "sucesso" e não gravam</w:t>
            </w:r>
            <w:r>
              <w:rPr>
                <w:sz w:val="18"/>
                <w:szCs w:val="20"/>
              </w:rPr>
              <w:t xml:space="preserve">: a </w:t>
            </w:r>
            <w:r>
              <w:rPr>
                <w:sz w:val="18"/>
                <w:b/>
                <w:bCs/>
                <w:szCs w:val="20"/>
              </w:rPr>
              <w:t xml:space="preserve">Análise do Planejamento de Kits</w:t>
            </w:r>
            <w:r>
              <w:rPr>
                <w:sz w:val="18"/>
                <w:szCs w:val="20"/>
              </w:rPr>
              <w:t xml:space="preserve"> responde "Analise gerada!" e não grava nada (DV-EST-054); o cadastro de </w:t>
            </w:r>
            <w:r>
              <w:rPr>
                <w:sz w:val="18"/>
                <w:b/>
                <w:bCs/>
                <w:szCs w:val="20"/>
              </w:rPr>
              <w:t xml:space="preserve">Banco</w:t>
            </w:r>
            <w:r>
              <w:rPr>
                <w:sz w:val="18"/>
                <w:szCs w:val="20"/>
              </w:rPr>
              <w:t xml:space="preserve"> mostra um erro técnico do banco de dados e não grava (DV-EST-052)</w:t>
            </w:r>
          </w:p>
        </w:tc>
        <w:tc>
          <w:tcPr>
            <w:tcW w:w="3007" w:type="dxa"/>
          </w:tcPr>
          <w:p>
            <w:pPr>
              <w:widowControl/>
              <w:spacing w:after="0" w:line="276" w:lineRule="auto"/>
              <w:jc w:val="left"/>
              <w:rPr>
                <w:sz w:val="18"/>
                <w:szCs w:val="18"/>
              </w:rPr>
            </w:pPr>
            <w:r>
              <w:rPr>
                <w:sz w:val="18"/>
                <w:szCs w:val="20"/>
              </w:rPr>
              <w:t xml:space="preserve">O sistema afirma o que não aconteceu (mesma família do Endereçamento)</w:t>
            </w:r>
          </w:p>
        </w:tc>
        <w:tc>
          <w:tcPr>
            <w:tcW w:w="1500" w:type="dxa"/>
          </w:tcPr>
          <w:p>
            <w:pPr>
              <w:widowControl/>
              <w:spacing w:after="0" w:line="276" w:lineRule="auto"/>
              <w:jc w:val="left"/>
              <w:rPr>
                <w:sz w:val="18"/>
                <w:szCs w:val="18"/>
              </w:rPr>
            </w:pPr>
            <w:r>
              <w:rPr>
                <w:sz w:val="18"/>
                <w:szCs w:val="20"/>
              </w:rPr>
              <w:t xml:space="preserve">Art. 124; Guia 33/2020</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Devolução de Material não acha o lote</w:t>
            </w:r>
            <w:r>
              <w:rPr>
                <w:sz w:val="18"/>
                <w:szCs w:val="20"/>
              </w:rPr>
              <w:t xml:space="preserve"> de um item com controle de qualidade (DV-EST-064); sem controle, cria um item de entrada novo para o mesmo lote</w:t>
            </w:r>
          </w:p>
        </w:tc>
        <w:tc>
          <w:tcPr>
            <w:tcW w:w="3007" w:type="dxa"/>
          </w:tcPr>
          <w:p>
            <w:pPr>
              <w:widowControl/>
              <w:spacing w:after="0" w:line="276" w:lineRule="auto"/>
              <w:jc w:val="left"/>
              <w:rPr>
                <w:sz w:val="18"/>
                <w:szCs w:val="18"/>
              </w:rPr>
            </w:pPr>
            <w:r>
              <w:rPr>
                <w:sz w:val="18"/>
                <w:szCs w:val="20"/>
              </w:rPr>
              <w:t xml:space="preserve">Material devolvido sem voltar identificado pelo lote</w:t>
            </w:r>
          </w:p>
        </w:tc>
        <w:tc>
          <w:tcPr>
            <w:tcW w:w="1500" w:type="dxa"/>
          </w:tcPr>
          <w:p>
            <w:pPr>
              <w:widowControl/>
              <w:spacing w:after="0" w:line="276" w:lineRule="auto"/>
              <w:jc w:val="left"/>
              <w:rPr>
                <w:sz w:val="18"/>
                <w:szCs w:val="18"/>
              </w:rPr>
            </w:pPr>
            <w:r>
              <w:rPr>
                <w:sz w:val="18"/>
                <w:szCs w:val="20"/>
              </w:rPr>
              <w:t xml:space="preserve">Arts. 124 e 141</w:t>
            </w:r>
          </w:p>
        </w:tc>
      </w:tr>
      <w:tr>
        <w:trPr>
          <w:cantSplit/>
        </w:trPr>
        <w:tc>
          <w:tcPr>
            <w:tcW w:w="5124" w:type="dxa"/>
          </w:tcPr>
          <w:p>
            <w:pPr>
              <w:widowControl/>
              <w:spacing w:after="0" w:line="276" w:lineRule="auto"/>
              <w:jc w:val="left"/>
              <w:rPr>
                <w:sz w:val="18"/>
                <w:szCs w:val="18"/>
              </w:rPr>
            </w:pPr>
            <w:r>
              <w:rPr>
                <w:sz w:val="18"/>
                <w:b/>
                <w:bCs/>
                <w:szCs w:val="20"/>
              </w:rPr>
              <w:t xml:space="preserve">Ninguém consegue aprovar o Lote Padrão</w:t>
            </w:r>
            <w:r>
              <w:rPr>
                <w:sz w:val="18"/>
                <w:szCs w:val="20"/>
              </w:rPr>
              <w:t xml:space="preserve"> (DV-EST-076): o botão Aprovar exige uma função profissional ligada à configuração 19 e nenhuma tela de nenhum módulo faz essa ligação (testado com as 46 funções). Sem lote padrão aprovado, a Produção não pede a ordem de produção e o Estoque não recebe solicitação de material do tipo Produção</w:t>
            </w:r>
          </w:p>
        </w:tc>
        <w:tc>
          <w:tcPr>
            <w:tcW w:w="3007" w:type="dxa"/>
          </w:tcPr>
          <w:p>
            <w:pPr>
              <w:widowControl/>
              <w:spacing w:after="0" w:line="276" w:lineRule="auto"/>
              <w:jc w:val="left"/>
              <w:rPr>
                <w:sz w:val="18"/>
                <w:szCs w:val="18"/>
              </w:rPr>
            </w:pPr>
            <w:r>
              <w:rPr>
                <w:sz w:val="18"/>
                <w:szCs w:val="20"/>
              </w:rPr>
              <w:t xml:space="preserve">Produção sem fórmula e lote padrão aprovados e sem rastro de quem os liberou</w:t>
            </w:r>
          </w:p>
        </w:tc>
        <w:tc>
          <w:tcPr>
            <w:tcW w:w="1500" w:type="dxa"/>
          </w:tcPr>
          <w:p>
            <w:pPr>
              <w:widowControl/>
              <w:spacing w:after="0" w:line="276" w:lineRule="auto"/>
              <w:jc w:val="left"/>
              <w:rPr>
                <w:sz w:val="18"/>
                <w:szCs w:val="18"/>
              </w:rPr>
            </w:pPr>
            <w:r>
              <w:rPr>
                <w:sz w:val="18"/>
                <w:szCs w:val="20"/>
              </w:rPr>
              <w:t xml:space="preserve">RDC 658/2022, arts. 133 a 135</w:t>
            </w:r>
          </w:p>
        </w:tc>
      </w:tr>
      <w:tr>
        <w:trPr>
          <w:cantSplit/>
        </w:trPr>
        <w:tc>
          <w:tcPr>
            <w:tcW w:w="5124" w:type="dxa"/>
          </w:tcPr>
          <w:p>
            <w:pPr>
              <w:widowControl/>
              <w:spacing w:after="0" w:line="276" w:lineRule="auto"/>
              <w:jc w:val="left"/>
              <w:rPr>
                <w:sz w:val="18"/>
                <w:szCs w:val="18"/>
              </w:rPr>
            </w:pPr>
            <w:r>
              <w:rPr>
                <w:sz w:val="18"/>
                <w:szCs w:val="20"/>
              </w:rPr>
              <w:t xml:space="preserve">A </w:t>
            </w:r>
            <w:r>
              <w:rPr>
                <w:sz w:val="18"/>
                <w:b/>
                <w:bCs/>
                <w:szCs w:val="20"/>
              </w:rPr>
              <w:t xml:space="preserve">estabilidade não anda de ponta a ponta</w:t>
            </w:r>
            <w:r>
              <w:rPr>
                <w:sz w:val="18"/>
                <w:szCs w:val="20"/>
              </w:rPr>
              <w:t xml:space="preserve">: o campo "Qtd. Estabilidade" da amostragem está desligado no código, nenhuma entrada de estabilidade pendente nasce e o acompanhamento do CQ fica vazio (DV-EST-074); a Regra de Estabilidade só aceita item de código numérico (DV-EST-075)</w:t>
            </w:r>
          </w:p>
        </w:tc>
        <w:tc>
          <w:tcPr>
            <w:tcW w:w="3007" w:type="dxa"/>
          </w:tcPr>
          <w:p>
            <w:pPr>
              <w:widowControl/>
              <w:spacing w:after="0" w:line="276" w:lineRule="auto"/>
              <w:jc w:val="left"/>
              <w:rPr>
                <w:sz w:val="18"/>
                <w:szCs w:val="18"/>
              </w:rPr>
            </w:pPr>
            <w:r>
              <w:rPr>
                <w:sz w:val="18"/>
                <w:szCs w:val="20"/>
              </w:rPr>
              <w:t xml:space="preserve">Estudo de estabilidade do lote que não abre</w:t>
            </w:r>
          </w:p>
        </w:tc>
        <w:tc>
          <w:tcPr>
            <w:tcW w:w="1500" w:type="dxa"/>
          </w:tcPr>
          <w:p>
            <w:pPr>
              <w:widowControl/>
              <w:spacing w:after="0" w:line="276" w:lineRule="auto"/>
              <w:jc w:val="left"/>
              <w:rPr>
                <w:sz w:val="18"/>
                <w:szCs w:val="18"/>
              </w:rPr>
            </w:pPr>
            <w:r>
              <w:rPr>
                <w:sz w:val="18"/>
                <w:szCs w:val="20"/>
              </w:rPr>
              <w:t xml:space="preserve">RDC 658/2022</w:t>
            </w:r>
          </w:p>
        </w:tc>
      </w:tr>
      <w:tr>
        <w:trPr>
          <w:cantSplit/>
        </w:trPr>
        <w:tc>
          <w:tcPr>
            <w:tcW w:w="5124" w:type="dxa"/>
          </w:tcPr>
          <w:p>
            <w:pPr>
              <w:widowControl/>
              <w:spacing w:after="0" w:line="276" w:lineRule="auto"/>
              <w:jc w:val="left"/>
              <w:rPr>
                <w:sz w:val="18"/>
                <w:szCs w:val="18"/>
              </w:rPr>
            </w:pPr>
            <w:r>
              <w:rPr>
                <w:sz w:val="18"/>
                <w:szCs w:val="20"/>
              </w:rPr>
              <w:t xml:space="preserve">O </w:t>
            </w:r>
            <w:r>
              <w:rPr>
                <w:sz w:val="18"/>
                <w:b/>
                <w:bCs/>
                <w:szCs w:val="20"/>
              </w:rPr>
              <w:t xml:space="preserve">Pedido de Compra não tem função no perfil</w:t>
            </w:r>
            <w:r>
              <w:rPr>
                <w:sz w:val="18"/>
                <w:szCs w:val="20"/>
              </w:rPr>
              <w:t xml:space="preserve"> (DV-EST-077): só o ícone Excluir aparece e nenhum pedido pode ser alterado, finalizado ou baixado</w:t>
            </w:r>
          </w:p>
        </w:tc>
        <w:tc>
          <w:tcPr>
            <w:tcW w:w="3007" w:type="dxa"/>
          </w:tcPr>
          <w:p>
            <w:pPr>
              <w:widowControl/>
              <w:spacing w:after="0" w:line="276" w:lineRule="auto"/>
              <w:jc w:val="left"/>
              <w:rPr>
                <w:sz w:val="18"/>
                <w:szCs w:val="18"/>
              </w:rPr>
            </w:pPr>
            <w:r>
              <w:rPr>
                <w:sz w:val="18"/>
                <w:szCs w:val="20"/>
              </w:rPr>
              <w:t xml:space="preserve">Compra sem controle de acesso por função</w:t>
            </w:r>
          </w:p>
        </w:tc>
        <w:tc>
          <w:tcPr>
            <w:tcW w:w="1500" w:type="dxa"/>
          </w:tcPr>
          <w:p>
            <w:pPr>
              <w:widowControl/>
              <w:spacing w:after="0" w:line="276" w:lineRule="auto"/>
              <w:jc w:val="left"/>
              <w:rPr>
                <w:sz w:val="18"/>
                <w:szCs w:val="18"/>
              </w:rPr>
            </w:pPr>
            <w:r>
              <w:rPr>
                <w:sz w:val="18"/>
                <w:szCs w:val="20"/>
              </w:rPr>
              <w:t xml:space="preserve">Guia 33/2020</w:t>
            </w:r>
          </w:p>
        </w:tc>
      </w:tr>
      <w:tr>
        <w:trPr>
          <w:cantSplit/>
        </w:trPr>
        <w:tc>
          <w:tcPr>
            <w:tcW w:w="5124" w:type="dxa"/>
          </w:tcPr>
          <w:p>
            <w:pPr>
              <w:widowControl/>
              <w:spacing w:after="0" w:line="276" w:lineRule="auto"/>
              <w:jc w:val="left"/>
              <w:rPr>
                <w:sz w:val="18"/>
                <w:szCs w:val="18"/>
              </w:rPr>
            </w:pPr>
            <w:r>
              <w:rPr>
                <w:sz w:val="18"/>
                <w:szCs w:val="20"/>
              </w:rPr>
              <w:t xml:space="preserve">O </w:t>
            </w:r>
            <w:r>
              <w:rPr>
                <w:sz w:val="18"/>
                <w:b/>
                <w:bCs/>
                <w:szCs w:val="20"/>
              </w:rPr>
              <w:t xml:space="preserve">laudo só chega ao Estoque por um clique manual</w:t>
            </w:r>
            <w:r>
              <w:rPr>
                <w:sz w:val="18"/>
                <w:szCs w:val="20"/>
              </w:rPr>
              <w:t xml:space="preserve">; o histórico do lote não mostra usuário, análise nem laudo</w:t>
            </w:r>
          </w:p>
        </w:tc>
        <w:tc>
          <w:tcPr>
            <w:tcW w:w="3007" w:type="dxa"/>
          </w:tcPr>
          <w:p>
            <w:pPr>
              <w:widowControl/>
              <w:spacing w:after="0" w:line="276" w:lineRule="auto"/>
              <w:jc w:val="left"/>
              <w:rPr>
                <w:sz w:val="18"/>
                <w:szCs w:val="18"/>
              </w:rPr>
            </w:pPr>
            <w:r>
              <w:rPr>
                <w:sz w:val="18"/>
                <w:szCs w:val="20"/>
              </w:rPr>
              <w:t xml:space="preserve">Lote preso ou liberado sem rastro; trilha incompleta</w:t>
            </w:r>
          </w:p>
        </w:tc>
        <w:tc>
          <w:tcPr>
            <w:tcW w:w="1500" w:type="dxa"/>
          </w:tcPr>
          <w:p>
            <w:pPr>
              <w:widowControl/>
              <w:spacing w:after="0" w:line="276" w:lineRule="auto"/>
              <w:jc w:val="left"/>
              <w:rPr>
                <w:sz w:val="18"/>
                <w:szCs w:val="18"/>
              </w:rPr>
            </w:pPr>
            <w:r>
              <w:rPr>
                <w:sz w:val="18"/>
                <w:szCs w:val="20"/>
              </w:rPr>
              <w:t xml:space="preserve">Art. 125</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O QUE JÁ FUNCIONA (E VALE MANTER)</w:t>
      </w:r>
    </w:p>
    <w:p>
      <w:pPr>
        <w:keepNext/>
        <w:spacing w:after="0" w:line="360" w:lineRule="auto"/>
      </w:pPr>
    </w:p>
    <w:p>
      <w:pPr>
        <w:numPr>
          <w:ilvl w:val="0"/>
          <w:numId w:val="2"/>
        </w:numPr>
        <w:spacing w:after="0" w:line="360" w:lineRule="auto"/>
        <w:rPr>
          <w:szCs w:val="20"/>
        </w:rPr>
      </w:pPr>
      <w:r>
        <w:rPr>
          <w:szCs w:val="20"/>
        </w:rPr>
        <w:t xml:space="preserve">Quem cadastra o recebimento não o autoriza.</w:t>
      </w:r>
    </w:p>
    <w:p>
      <w:pPr>
        <w:numPr>
          <w:ilvl w:val="0"/>
          <w:numId w:val="2"/>
        </w:numPr>
        <w:spacing w:after="0" w:line="360" w:lineRule="auto"/>
        <w:rPr>
          <w:szCs w:val="20"/>
        </w:rPr>
      </w:pPr>
      <w:r>
        <w:rPr>
          <w:szCs w:val="20"/>
        </w:rPr>
        <w:t xml:space="preserve">As entradas de material criam a quarentena e abrem a análise no CQ.</w:t>
      </w:r>
    </w:p>
    <w:p>
      <w:pPr>
        <w:numPr>
          <w:ilvl w:val="0"/>
          <w:numId w:val="2"/>
        </w:numPr>
        <w:spacing w:after="0" w:line="360" w:lineRule="auto"/>
        <w:rPr>
          <w:szCs w:val="20"/>
        </w:rPr>
      </w:pPr>
      <w:r>
        <w:rPr>
          <w:szCs w:val="20"/>
        </w:rPr>
        <w:t xml:space="preserve">O lote reprovado só vai para o refugo; o lote em quarentena só vai a local de quarentena.</w:t>
      </w:r>
    </w:p>
    <w:p>
      <w:pPr>
        <w:numPr>
          <w:ilvl w:val="0"/>
          <w:numId w:val="2"/>
        </w:numPr>
        <w:spacing w:after="0" w:line="360" w:lineRule="auto"/>
        <w:rPr>
          <w:szCs w:val="20"/>
        </w:rPr>
      </w:pPr>
      <w:r>
        <w:rPr>
          <w:szCs w:val="20"/>
        </w:rPr>
        <w:t xml:space="preserve">Quarentena e reprovado ficam fora do atendimento e da remessa.</w:t>
      </w:r>
    </w:p>
    <w:p>
      <w:pPr>
        <w:numPr>
          <w:ilvl w:val="0"/>
          <w:numId w:val="2"/>
        </w:numPr>
        <w:spacing w:after="0" w:line="360" w:lineRule="auto"/>
        <w:rPr>
          <w:szCs w:val="20"/>
        </w:rPr>
      </w:pPr>
      <w:r>
        <w:rPr>
          <w:szCs w:val="20"/>
        </w:rPr>
        <w:t xml:space="preserve">A movimentação recusa saldo insuficiente, destino com outro item e peso acima da capacidade.</w:t>
      </w:r>
    </w:p>
    <w:p>
      <w:pPr>
        <w:numPr>
          <w:ilvl w:val="0"/>
          <w:numId w:val="2"/>
        </w:numPr>
        <w:spacing w:after="0" w:line="360" w:lineRule="auto"/>
        <w:rPr>
          <w:szCs w:val="20"/>
        </w:rPr>
      </w:pPr>
      <w:r>
        <w:rPr>
          <w:szCs w:val="20"/>
        </w:rPr>
        <w:t xml:space="preserve">O saldo já é separado por situação: é a base da situação única do lote.</w:t>
      </w:r>
    </w:p>
    <w:p>
      <w:pPr>
        <w:numPr>
          <w:ilvl w:val="0"/>
          <w:numId w:val="2"/>
        </w:numPr>
        <w:spacing w:after="0" w:line="360" w:lineRule="auto"/>
        <w:rPr>
          <w:szCs w:val="20"/>
        </w:rPr>
      </w:pPr>
      <w:r>
        <w:rPr>
          <w:szCs w:val="20"/>
        </w:rPr>
        <w:t xml:space="preserve">O inventário rotativo funciona: conta, justifica a divergência, apura e ajusta o saldo, e trava os endereços durante a contagem (falta a separação de funções).</w:t>
      </w:r>
    </w:p>
    <w:p>
      <w:pPr>
        <w:numPr>
          <w:ilvl w:val="0"/>
          <w:numId w:val="2"/>
        </w:numPr>
        <w:spacing w:after="0" w:line="360" w:lineRule="auto"/>
        <w:rPr>
          <w:szCs w:val="20"/>
        </w:rPr>
      </w:pPr>
      <w:r>
        <w:rPr>
          <w:szCs w:val="20"/>
        </w:rPr>
        <w:t xml:space="preserve">O item controlado exige o tipo de substância, e alterar um cadastro exige justificativa e fica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O QUE PRECISA SER CORRIGIDO PARA UMA NOVA HOMOLOGAÇÃO</w:t>
      </w:r>
    </w:p>
    <w:p>
      <w:pPr>
        <w:keepNext/>
        <w:spacing w:after="0" w:line="360" w:lineRule="auto"/>
      </w:pPr>
    </w:p>
    <w:p>
      <w:pPr>
        <w:spacing w:after="0" w:line="360" w:lineRule="auto"/>
        <w:rPr>
          <w:szCs w:val="20"/>
        </w:rPr>
      </w:pPr>
      <w:r>
        <w:rPr>
          <w:szCs w:val="20"/>
        </w:rPr>
        <w:t xml:space="preserve">1. </w:t>
      </w:r>
      <w:r>
        <w:rPr>
          <w:b/>
          <w:bCs/>
          <w:szCs w:val="20"/>
        </w:rPr>
        <w:t xml:space="preserve">Gravar tudo ou nada:</w:t>
      </w:r>
      <w:r>
        <w:rPr>
          <w:szCs w:val="20"/>
        </w:rPr>
        <w:t xml:space="preserve"> nenhuma tela mostra "sucesso" sem ter gravado; corrigir o Endereçamento. 2. </w:t>
      </w:r>
      <w:r>
        <w:rPr>
          <w:b/>
          <w:bCs/>
          <w:szCs w:val="20"/>
        </w:rPr>
        <w:t xml:space="preserve">Recebimento só de fornecedor qualificado</w:t>
      </w:r>
      <w:r>
        <w:rPr>
          <w:szCs w:val="20"/>
        </w:rPr>
        <w:t xml:space="preserve">, com decisão registrada da Garantia da Qualidade para a exceção. 3. </w:t>
      </w:r>
      <w:r>
        <w:rPr>
          <w:b/>
          <w:bCs/>
          <w:szCs w:val="20"/>
        </w:rPr>
        <w:t xml:space="preserve">Recusar validade anterior a hoje</w:t>
      </w:r>
      <w:r>
        <w:rPr>
          <w:szCs w:val="20"/>
        </w:rPr>
        <w:t xml:space="preserve"> em toda entrada, e </w:t>
      </w:r>
      <w:r>
        <w:rPr>
          <w:b/>
          <w:bCs/>
          <w:szCs w:val="20"/>
        </w:rPr>
        <w:t xml:space="preserve">atender pelo lote que vence primeiro</w:t>
      </w:r>
      <w:r>
        <w:rPr>
          <w:szCs w:val="20"/>
        </w:rPr>
        <w:t xml:space="preserve">, respeitando a validade mínima do cliente. 4. </w:t>
      </w:r>
      <w:r>
        <w:rPr>
          <w:b/>
          <w:bCs/>
          <w:szCs w:val="20"/>
        </w:rPr>
        <w:t xml:space="preserve">Entrada de produto acabado</w:t>
      </w:r>
      <w:r>
        <w:rPr>
          <w:szCs w:val="20"/>
        </w:rPr>
        <w:t xml:space="preserve"> só a partir de uma ordem de produção liberada. 5. </w:t>
      </w:r>
      <w:r>
        <w:rPr>
          <w:b/>
          <w:bCs/>
          <w:szCs w:val="20"/>
        </w:rPr>
        <w:t xml:space="preserve">Situação única do lote</w:t>
      </w:r>
      <w:r>
        <w:rPr>
          <w:szCs w:val="20"/>
        </w:rPr>
        <w:t xml:space="preserve">, aplicada em toda tela e mudada só pelo CQ, pela Pessoa Delegada ou pela Garantia da Qualidade. 6. </w:t>
      </w:r>
      <w:r>
        <w:rPr>
          <w:b/>
          <w:bCs/>
          <w:szCs w:val="20"/>
        </w:rPr>
        <w:t xml:space="preserve">Liberação do lote pela Pessoa Delegada</w:t>
      </w:r>
      <w:r>
        <w:rPr>
          <w:szCs w:val="20"/>
        </w:rPr>
        <w:t xml:space="preserve">, com assinatura eletrônica; o laudo muda a situação na hora e reprovar exige motivo. 7. </w:t>
      </w:r>
      <w:r>
        <w:rPr>
          <w:b/>
          <w:bCs/>
          <w:szCs w:val="20"/>
        </w:rPr>
        <w:t xml:space="preserve">Histórico completo do lote:</w:t>
      </w:r>
      <w:r>
        <w:rPr>
          <w:szCs w:val="20"/>
        </w:rPr>
        <w:t xml:space="preserve"> usuário, hora, análise, laudo, aprovador e cada movimentação, ajuste de inventário e cancelamento, com justificativa. 8. </w:t>
      </w:r>
      <w:r>
        <w:rPr>
          <w:b/>
          <w:bCs/>
          <w:szCs w:val="20"/>
        </w:rPr>
        <w:t xml:space="preserve">Controle de acesso conferido no servidor</w:t>
      </w:r>
      <w:r>
        <w:rPr>
          <w:szCs w:val="20"/>
        </w:rPr>
        <w:t xml:space="preserve">, e uma tela para dar a função de aprovar o lote padrão (detalhe em Achados de Segurança e nos defeitos DV-EST-076 e 077). 9. </w:t>
      </w:r>
      <w:r>
        <w:rPr>
          <w:b/>
          <w:bCs/>
          <w:szCs w:val="20"/>
        </w:rPr>
        <w:t xml:space="preserve">Remessa (inclusive a de kit) que finaliza</w:t>
      </w:r>
      <w:r>
        <w:rPr>
          <w:szCs w:val="20"/>
        </w:rPr>
        <w:t xml:space="preserve">, baixa o saldo e informa a Rastreabilidade; </w:t>
      </w:r>
      <w:r>
        <w:rPr>
          <w:b/>
          <w:bCs/>
          <w:szCs w:val="20"/>
        </w:rPr>
        <w:t xml:space="preserve">Movimentação de Quarentena</w:t>
      </w:r>
      <w:r>
        <w:rPr>
          <w:szCs w:val="20"/>
        </w:rPr>
        <w:t xml:space="preserve"> que exige endereço completo e grava saída e entrada juntas. 10. </w:t>
      </w:r>
      <w:r>
        <w:rPr>
          <w:b/>
          <w:bCs/>
          <w:szCs w:val="20"/>
        </w:rPr>
        <w:t xml:space="preserve">Amostras de retenção de ponta a ponta:</w:t>
      </w:r>
      <w:r>
        <w:rPr>
          <w:szCs w:val="20"/>
        </w:rPr>
        <w:t xml:space="preserve"> consulta e saída encontram o que a entrada gravou, com prazo de guarda e trava de saída.</w:t>
      </w:r>
    </w:p>
    <w:p>
      <w:pPr>
        <w:spacing w:after="0" w:line="360" w:lineRule="auto"/>
        <w:rPr>
          <w:szCs w:val="20"/>
        </w:rPr>
      </w:pPr>
      <w:r>
        <w:rPr>
          <w:szCs w:val="20"/>
        </w:rPr>
        <w:t xml:space="preserve">O modelo de como o Estoque deve funcionar está em </w:t>
      </w:r>
      <w:r>
        <w:rPr>
          <w:b/>
          <w:bCs/>
          <w:szCs w:val="20"/>
        </w:rPr>
        <w:t xml:space="preserve">"O Estoque ideal"</w:t>
      </w:r>
      <w:r>
        <w:rPr>
          <w:szCs w:val="20"/>
        </w:rPr>
        <w:t xml:space="preserve"> (passo 4 do roteiro).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LIMITAÇÕES DESTA HOMOLOGAÇÃO</w:t>
      </w:r>
    </w:p>
    <w:p>
      <w:pPr>
        <w:keepNext/>
        <w:spacing w:after="0" w:line="360" w:lineRule="auto"/>
      </w:pPr>
    </w:p>
    <w:p>
      <w:pPr>
        <w:numPr>
          <w:ilvl w:val="0"/>
          <w:numId w:val="2"/>
        </w:numPr>
        <w:spacing w:after="0" w:line="360" w:lineRule="auto"/>
        <w:rPr>
          <w:szCs w:val="20"/>
        </w:rPr>
      </w:pPr>
      <w:r>
        <w:rPr>
          <w:b/>
          <w:bCs/>
          <w:szCs w:val="20"/>
        </w:rPr>
        <w:t xml:space="preserve">2 casos de prioridade alta ficaram sem conclusão</w:t>
      </w:r>
      <w:r>
        <w:rPr>
          <w:szCs w:val="20"/>
        </w:rPr>
        <w:t xml:space="preserve"> (CT-EST-058 e 091) por causas fora do alcance do teste pela tela: a classificação de reanálise que não aparece no Item (DV-EST-043) e a Ordem de Produção, que não nasce porque o lote padrão não está aprovado e ninguém consegue aprová-lo (DV-EST-076). Os outros dois (CT-EST-116 e 176) foram resolvidos na rodada 10 e </w:t>
      </w:r>
      <w:r>
        <w:rPr>
          <w:b/>
          <w:bCs/>
          <w:szCs w:val="20"/>
        </w:rPr>
        <w:t xml:space="preserve">falharam</w:t>
      </w:r>
      <w:r>
        <w:rPr>
          <w:szCs w:val="20"/>
        </w:rPr>
        <w:t xml:space="preserve"> (seção 6).</w:t>
      </w:r>
    </w:p>
    <w:p>
      <w:pPr>
        <w:numPr>
          <w:ilvl w:val="0"/>
          <w:numId w:val="2"/>
        </w:numPr>
        <w:spacing w:after="0" w:line="360" w:lineRule="auto"/>
        <w:rPr>
          <w:szCs w:val="20"/>
        </w:rPr>
      </w:pPr>
      <w:r>
        <w:rPr>
          <w:b/>
          <w:bCs/>
          <w:szCs w:val="20"/>
        </w:rPr>
        <w:t xml:space="preserve">13 casos seguem sem resultado conclusivo:</w:t>
      </w:r>
      <w:r>
        <w:rPr>
          <w:szCs w:val="20"/>
        </w:rPr>
        <w:t xml:space="preserve"> os 2 de prioridade alta acima e 11 de média e baixa (10 bloqueados, 2 que não se aplicam à tela e o CT-EST-023, de acesso, fora do escopo). Faltam a aprovação do lote padrão (DV-EST-076) ou a correção de defeitos abertos (reanálise no Item, Pedido de Compra, estabilidade, Central de Pesagem). Eles ficam como testes de aceite da nova versão. Os casos de acesso têm documento próprio (Achados de Segurança).</w:t>
      </w:r>
    </w:p>
    <w:p>
      <w:pPr>
        <w:numPr>
          <w:ilvl w:val="0"/>
          <w:numId w:val="2"/>
        </w:numPr>
        <w:spacing w:after="0" w:line="360" w:lineRule="auto"/>
        <w:rPr>
          <w:szCs w:val="20"/>
        </w:rPr>
      </w:pPr>
      <w:r>
        <w:rPr>
          <w:szCs w:val="20"/>
        </w:rPr>
        <w:t xml:space="preserve">Perguntas ainda sem resposta da área: quem é a Pessoa Delegada; o que é fornecedor aprovado; se a sobra devolvida precisa de nova análise; o prazo das amostras de retenção.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AINDA PRECISO DO DBA</w:t>
      </w:r>
    </w:p>
    <w:p>
      <w:pPr>
        <w:keepNext/>
        <w:spacing w:after="0" w:line="360" w:lineRule="auto"/>
      </w:pPr>
    </w:p>
    <w:p>
      <w:pPr>
        <w:spacing w:after="0" w:line="360" w:lineRule="auto"/>
        <w:rPr>
          <w:szCs w:val="20"/>
        </w:rPr>
      </w:pPr>
      <w:r>
        <w:rPr>
          <w:b/>
          <w:bCs/>
          <w:szCs w:val="20"/>
        </w:rPr>
        <w:t xml:space="preserve">Atualização de 22/10/2026:</w:t>
      </w:r>
      <w:r>
        <w:rPr>
          <w:szCs w:val="20"/>
        </w:rPr>
        <w:t xml:space="preserve"> a leitura do código (</w:t>
      </w:r>
      <w:r>
        <w:rPr>
          <w:szCs w:val="20"/>
        </w:rPr>
        <w:t xml:space="preserve">levantamento/causas-provaveis-pelo-codigo.md</w:t>
      </w:r>
      <w:r>
        <w:rPr>
          <w:szCs w:val="20"/>
        </w:rPr>
        <w:t xml:space="preserve">) respondeu quatro dos cinco pedidos. Resta </w:t>
      </w:r>
      <w:r>
        <w:rPr>
          <w:b/>
          <w:bCs/>
          <w:szCs w:val="20"/>
        </w:rPr>
        <w:t xml:space="preserve">um pedido ao DBA</w:t>
      </w:r>
      <w:r>
        <w:rPr>
          <w:szCs w:val="20"/>
        </w:rPr>
        <w:t xml:space="preserve">, o primeiro: dizer qual instrução da rotina </w:t>
      </w:r>
      <w:r>
        <w:rPr>
          <w:szCs w:val="20"/>
        </w:rPr>
        <w:t xml:space="preserve">pFinalizaRecebimento</w:t>
      </w:r>
      <w:r>
        <w:rPr>
          <w:szCs w:val="20"/>
        </w:rPr>
        <w:t xml:space="preserve"> falha. </w:t>
      </w:r>
      <w:r>
        <w:rPr>
          <w:b/>
          <w:bCs/>
          <w:szCs w:val="20"/>
        </w:rPr>
        <w:t xml:space="preserve">Depois da rodada 11 (22/10/2026) acrescenta-se um terceiro: ligar uma função profissional à configuração 19 (e à 28 e 29, de autorizar e cancelar produção) na tabela de ligação função × configuração, o que destrava a Produção (DV-EST-076).</w:t>
      </w:r>
      <w:r>
        <w:rPr>
          <w:szCs w:val="20"/>
        </w:rPr>
        <w:t xml:space="preserve"> </w:t>
      </w:r>
      <w:r>
        <w:rPr>
          <w:b/>
          <w:bCs/>
          <w:szCs w:val="20"/>
        </w:rPr>
        <w:t xml:space="preserve">Depois da rodada 10 (22/10/2026) acrescentou-se um segundo</w:t>
      </w:r>
      <w:r>
        <w:rPr>
          <w:szCs w:val="20"/>
        </w:rPr>
        <w:t xml:space="preserve">, menor: olhar o que há de diferente nos dados do lote </w:t>
      </w:r>
      <w:r>
        <w:rPr>
          <w:szCs w:val="20"/>
        </w:rPr>
        <w:t xml:space="preserve">TESTEPA001</w:t>
      </w:r>
      <w:r>
        <w:rPr>
          <w:szCs w:val="20"/>
        </w:rPr>
        <w:t xml:space="preserve">, cuja Saída de retenção dá erro (DV-EST-047), enquanto a do lote novo funciona. O que o código já mostra:</w:t>
      </w:r>
    </w:p>
    <w:p>
      <w:pPr>
        <w:numPr>
          <w:ilvl w:val="0"/>
          <w:numId w:val="2"/>
        </w:numPr>
        <w:spacing w:after="0" w:line="360" w:lineRule="auto"/>
        <w:rPr>
          <w:szCs w:val="20"/>
        </w:rPr>
      </w:pPr>
      <w:r>
        <w:rPr>
          <w:b/>
          <w:bCs/>
          <w:szCs w:val="20"/>
        </w:rPr>
        <w:t xml:space="preserve">DV-EST-046 e 058 (remessa):</w:t>
      </w:r>
      <w:r>
        <w:rPr>
          <w:szCs w:val="20"/>
        </w:rPr>
        <w:t xml:space="preserve"> a tela nunca preenche o Centro de Custo ao gerar a solicitação, e o acesso a dados falha por referência vazia; o texto genérico esconde o erro. O Responsável vazio é desenho do sistema (campo travado e gravação comentada). Causa </w:t>
      </w:r>
      <w:r>
        <w:rPr>
          <w:b/>
          <w:bCs/>
          <w:szCs w:val="20"/>
        </w:rPr>
        <w:t xml:space="preserve">comprovada pelo código</w:t>
      </w:r>
      <w:r>
        <w:rPr>
          <w:szCs w:val="20"/>
        </w:rPr>
        <w:t xml:space="preserve">; basta corrigir e testar.</w:t>
      </w:r>
    </w:p>
    <w:p>
      <w:pPr>
        <w:numPr>
          <w:ilvl w:val="0"/>
          <w:numId w:val="2"/>
        </w:numPr>
        <w:spacing w:after="0" w:line="360" w:lineRule="auto"/>
        <w:rPr>
          <w:szCs w:val="20"/>
        </w:rPr>
      </w:pPr>
      <w:r>
        <w:rPr>
          <w:b/>
          <w:bCs/>
          <w:szCs w:val="20"/>
        </w:rPr>
        <w:t xml:space="preserve">DV-EST-044 (quarentena):</w:t>
      </w:r>
      <w:r>
        <w:rPr>
          <w:szCs w:val="20"/>
        </w:rPr>
        <w:t xml:space="preserve"> o endereço "L905-R000-C000-A000" existe, criado por uma regra do banco para todo local; as consultas o escondem. O saldo está lá, só não aparece.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DV-EST-043 e 041 (reanálise):</w:t>
      </w:r>
      <w:r>
        <w:rPr>
          <w:szCs w:val="20"/>
        </w:rPr>
        <w:t xml:space="preserve"> o campo de classificação está escondido na tela de Item e o item criado pela tela grava a classificação em branco; a Agenda só lista item com classificação.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DV-EST-047 (retenção):</w:t>
      </w:r>
      <w:r>
        <w:rPr>
          <w:szCs w:val="20"/>
        </w:rPr>
        <w:t xml:space="preserve"> a consulta só lista o item marcado com retenção no cadastro, e a saída filtra por almoxarifado do local, que pode estar vazio em algum local do lote. Causa </w:t>
      </w:r>
      <w:r>
        <w:rPr>
          <w:b/>
          <w:bCs/>
          <w:szCs w:val="20"/>
        </w:rPr>
        <w:t xml:space="preserve">provável</w:t>
      </w:r>
      <w:r>
        <w:rPr>
          <w:szCs w:val="20"/>
        </w:rPr>
        <w:t xml:space="preserve">; o robô confere o cadastro do item e o local sem precisar do DBA.</w:t>
      </w:r>
    </w:p>
    <w:p>
      <w:pPr>
        <w:spacing w:after="0" w:line="360" w:lineRule="auto"/>
        <w:rPr>
          <w:szCs w:val="20"/>
        </w:rPr>
      </w:pPr>
      <w:r>
        <w:rPr>
          <w:b/>
          <w:bCs/>
          <w:szCs w:val="20"/>
        </w:rPr>
        <w:t xml:space="preserve">O que a rodada 9 mostrou (22/10/2026), sem acrescentar pedido ao DBA:</w:t>
      </w:r>
    </w:p>
    <w:p>
      <w:pPr>
        <w:numPr>
          <w:ilvl w:val="0"/>
          <w:numId w:val="2"/>
        </w:numPr>
        <w:spacing w:after="0" w:line="360" w:lineRule="auto"/>
        <w:rPr>
          <w:szCs w:val="20"/>
        </w:rPr>
      </w:pPr>
      <w:r>
        <w:rPr>
          <w:b/>
          <w:bCs/>
          <w:szCs w:val="20"/>
        </w:rPr>
        <w:t xml:space="preserve">DV-EST-016:</w:t>
      </w:r>
      <w:r>
        <w:rPr>
          <w:szCs w:val="20"/>
        </w:rPr>
        <w:t xml:space="preserve"> a tela mostrou de novo "sucesso" sem gravar, e o erro da conferência (DV-EST-015) voltou mesmo refazendo a conferência do zero. A suspeita de que o erro dos volumes antecede e causa o Endereçamento segue </w:t>
      </w:r>
      <w:r>
        <w:rPr>
          <w:b/>
          <w:bCs/>
          <w:szCs w:val="20"/>
        </w:rPr>
        <w:t xml:space="preserve">hipótese</w:t>
      </w:r>
      <w:r>
        <w:rPr>
          <w:szCs w:val="20"/>
        </w:rPr>
        <w:t xml:space="preserve">: só um recebimento novo, autorizado por outra pessoa, a separa. O pedido 1 continua sendo o único que depende do DBA.</w:t>
      </w:r>
    </w:p>
    <w:p>
      <w:pPr>
        <w:numPr>
          <w:ilvl w:val="0"/>
          <w:numId w:val="2"/>
        </w:numPr>
        <w:spacing w:after="0" w:line="360" w:lineRule="auto"/>
        <w:rPr>
          <w:szCs w:val="20"/>
        </w:rPr>
      </w:pPr>
      <w:r>
        <w:rPr>
          <w:b/>
          <w:bCs/>
          <w:szCs w:val="20"/>
        </w:rPr>
        <w:t xml:space="preserve">DV-EST-046 e 058:</w:t>
      </w:r>
      <w:r>
        <w:rPr>
          <w:szCs w:val="20"/>
        </w:rPr>
        <w:t xml:space="preserve"> a tela confirmou o Responsável travado e vazio, o que </w:t>
      </w:r>
      <w:r>
        <w:rPr>
          <w:b/>
          <w:bCs/>
          <w:szCs w:val="20"/>
        </w:rPr>
        <w:t xml:space="preserve">bate com o código</w:t>
      </w:r>
      <w:r>
        <w:rPr>
          <w:szCs w:val="20"/>
        </w:rPr>
        <w:t xml:space="preserve"> (é desenho, não é a causa do erro). A suspeita de que o Responsável vazio impede a finalização </w:t>
      </w:r>
      <w:r>
        <w:rPr>
          <w:b/>
          <w:bCs/>
          <w:szCs w:val="20"/>
        </w:rPr>
        <w:t xml:space="preserve">não se sustenta</w:t>
      </w:r>
      <w:r>
        <w:rPr>
          <w:szCs w:val="20"/>
        </w:rPr>
        <w:t xml:space="preserve">; a causa continua sendo o Centro de Custo.</w:t>
      </w:r>
    </w:p>
    <w:p>
      <w:pPr>
        <w:numPr>
          <w:ilvl w:val="0"/>
          <w:numId w:val="2"/>
        </w:numPr>
        <w:spacing w:after="0" w:line="360" w:lineRule="auto"/>
        <w:rPr>
          <w:szCs w:val="20"/>
        </w:rPr>
      </w:pPr>
      <w:r>
        <w:rPr>
          <w:b/>
          <w:bCs/>
          <w:szCs w:val="20"/>
        </w:rPr>
        <w:t xml:space="preserve">DV-EST-043:</w:t>
      </w:r>
      <w:r>
        <w:rPr>
          <w:szCs w:val="20"/>
        </w:rPr>
        <w:t xml:space="preserve"> confirmado pela tela (13 listas no cadastro do Item e nenhuma de reanálise).</w:t>
      </w:r>
    </w:p>
    <w:p>
      <w:pPr>
        <w:numPr>
          <w:ilvl w:val="0"/>
          <w:numId w:val="2"/>
        </w:numPr>
        <w:spacing w:after="0" w:line="360" w:lineRule="auto"/>
        <w:rPr>
          <w:szCs w:val="20"/>
        </w:rPr>
      </w:pPr>
      <w:r>
        <w:rPr>
          <w:b/>
          <w:bCs/>
          <w:szCs w:val="20"/>
        </w:rPr>
        <w:t xml:space="preserve">DV-EST-047:</w:t>
      </w:r>
      <w:r>
        <w:rPr>
          <w:szCs w:val="20"/>
        </w:rPr>
        <w:t xml:space="preserve"> a Saída de Referência e a de Estabilidade dão o </w:t>
      </w:r>
      <w:r>
        <w:rPr>
          <w:b/>
          <w:bCs/>
          <w:szCs w:val="20"/>
        </w:rPr>
        <w:t xml:space="preserve">mesmo erro</w:t>
      </w:r>
      <w:r>
        <w:rPr>
          <w:szCs w:val="20"/>
        </w:rPr>
        <w:t xml:space="preserve"> da retenção, o que é compatível com o local sem almoxarifado apontado pelo código; falta só conferir o cadastro, sem o DBA.</w:t>
      </w:r>
    </w:p>
    <w:p>
      <w:pPr>
        <w:numPr>
          <w:ilvl w:val="0"/>
          <w:numId w:val="2"/>
        </w:numPr>
        <w:spacing w:after="0" w:line="360" w:lineRule="auto"/>
        <w:rPr>
          <w:szCs w:val="20"/>
        </w:rPr>
      </w:pPr>
      <w:r>
        <w:rPr>
          <w:b/>
          <w:bCs/>
          <w:szCs w:val="20"/>
        </w:rPr>
        <w:t xml:space="preserve">DV-EST-044:</w:t>
      </w:r>
      <w:r>
        <w:rPr>
          <w:szCs w:val="20"/>
        </w:rPr>
        <w:t xml:space="preserve"> não pôde ser testado (exige o ciclo do CQ com dois usuários); a explicação do código segue sem confirmação pela tela.</w:t>
      </w:r>
    </w:p>
    <w:p>
      <w:pPr>
        <w:numPr>
          <w:ilvl w:val="0"/>
          <w:numId w:val="2"/>
        </w:numPr>
        <w:spacing w:after="0" w:line="360" w:lineRule="auto"/>
        <w:rPr>
          <w:szCs w:val="20"/>
        </w:rPr>
      </w:pPr>
      <w:r>
        <w:rPr>
          <w:b/>
          <w:bCs/>
          <w:szCs w:val="20"/>
        </w:rPr>
        <w:t xml:space="preserve">DV-EST-066 e 067</w:t>
      </w:r>
      <w:r>
        <w:rPr>
          <w:szCs w:val="20"/>
        </w:rPr>
        <w:t xml:space="preserve"> (novos) são perguntas ao desenvolvimento, não ao DBA.</w:t>
      </w:r>
    </w:p>
    <w:p>
      <w:pPr>
        <w:spacing w:after="0" w:line="360" w:lineRule="auto"/>
        <w:rPr>
          <w:szCs w:val="20"/>
        </w:rPr>
      </w:pPr>
      <w:r>
        <w:rPr>
          <w:b/>
          <w:bCs/>
          <w:szCs w:val="20"/>
        </w:rPr>
        <w:t xml:space="preserve">O que a rodada 10 mostrou (22/10/2026):</w:t>
      </w:r>
    </w:p>
    <w:p>
      <w:pPr>
        <w:numPr>
          <w:ilvl w:val="0"/>
          <w:numId w:val="2"/>
        </w:numPr>
        <w:spacing w:after="0" w:line="360" w:lineRule="auto"/>
        <w:rPr>
          <w:szCs w:val="20"/>
        </w:rPr>
      </w:pPr>
      <w:r>
        <w:rPr>
          <w:b/>
          <w:bCs/>
          <w:szCs w:val="20"/>
        </w:rPr>
        <w:t xml:space="preserve">DV-EST-016:</w:t>
      </w:r>
      <w:r>
        <w:rPr>
          <w:szCs w:val="20"/>
        </w:rPr>
        <w:t xml:space="preserve"> reproduzido com </w:t>
      </w:r>
      <w:r>
        <w:rPr>
          <w:b/>
          <w:bCs/>
          <w:szCs w:val="20"/>
        </w:rPr>
        <w:t xml:space="preserve">recebimento novo autorizado por outra pessoa</w:t>
      </w:r>
      <w:r>
        <w:rPr>
          <w:szCs w:val="20"/>
        </w:rPr>
        <w:t xml:space="preserve"> e com item </w:t>
      </w:r>
      <w:r>
        <w:rPr>
          <w:b/>
          <w:bCs/>
          <w:szCs w:val="20"/>
        </w:rPr>
        <w:t xml:space="preserve">sem lote, sem validade e sem CQ</w:t>
      </w:r>
      <w:r>
        <w:rPr>
          <w:szCs w:val="20"/>
        </w:rPr>
        <w:t xml:space="preserve">: o defeito não depende deles. A conferência (DV-EST-015) deu o mesmo erro, então só o DBA separa os dois. O pedido 1 segue valendo.</w:t>
      </w:r>
    </w:p>
    <w:p>
      <w:pPr>
        <w:numPr>
          <w:ilvl w:val="0"/>
          <w:numId w:val="2"/>
        </w:numPr>
        <w:spacing w:after="0" w:line="360" w:lineRule="auto"/>
        <w:rPr>
          <w:szCs w:val="20"/>
        </w:rPr>
      </w:pPr>
      <w:r>
        <w:rPr>
          <w:b/>
          <w:bCs/>
          <w:szCs w:val="20"/>
        </w:rPr>
        <w:t xml:space="preserve">DV-EST-046 e 058:</w:t>
      </w:r>
      <w:r>
        <w:rPr>
          <w:szCs w:val="20"/>
        </w:rPr>
        <w:t xml:space="preserve"> </w:t>
      </w:r>
      <w:r>
        <w:rPr>
          <w:b/>
          <w:bCs/>
          <w:szCs w:val="20"/>
        </w:rPr>
        <w:t xml:space="preserve">causa confirmada pela tela.</w:t>
      </w:r>
      <w:r>
        <w:rPr>
          <w:szCs w:val="20"/>
        </w:rPr>
        <w:t xml:space="preserve"> Com o Tipo de Remessa em GMM, que preenche o centro de custo, a remessa finalizou e liberou o embarque (também a de kit); o Responsável é gravado só na liberação. O pedido 2 não é mais necessário.</w:t>
      </w:r>
    </w:p>
    <w:p>
      <w:pPr>
        <w:numPr>
          <w:ilvl w:val="0"/>
          <w:numId w:val="2"/>
        </w:numPr>
        <w:spacing w:after="0" w:line="360" w:lineRule="auto"/>
        <w:rPr>
          <w:szCs w:val="20"/>
        </w:rPr>
      </w:pPr>
      <w:r>
        <w:rPr>
          <w:b/>
          <w:bCs/>
          <w:szCs w:val="20"/>
        </w:rPr>
        <w:t xml:space="preserve">DV-EST-044:</w:t>
      </w:r>
      <w:r>
        <w:rPr>
          <w:szCs w:val="20"/>
        </w:rPr>
        <w:t xml:space="preserve"> reproduzido com lote novo; os 10 que "sumiram" estão no endereço padrão </w:t>
      </w:r>
      <w:r>
        <w:rPr>
          <w:szCs w:val="20"/>
        </w:rPr>
        <w:t xml:space="preserve">L905-R000-C000-A000</w:t>
      </w:r>
      <w:r>
        <w:rPr>
          <w:szCs w:val="20"/>
        </w:rPr>
        <w:t xml:space="preserve">, que a tela Movimentações lista e as consultas escondem. Causa </w:t>
      </w:r>
      <w:r>
        <w:rPr>
          <w:b/>
          <w:bCs/>
          <w:szCs w:val="20"/>
        </w:rPr>
        <w:t xml:space="preserve">confirmada</w:t>
      </w:r>
      <w:r>
        <w:rPr>
          <w:szCs w:val="20"/>
        </w:rPr>
        <w:t xml:space="preserve">.</w:t>
      </w:r>
    </w:p>
    <w:p>
      <w:pPr>
        <w:numPr>
          <w:ilvl w:val="0"/>
          <w:numId w:val="2"/>
        </w:numPr>
        <w:spacing w:after="0" w:line="360" w:lineRule="auto"/>
        <w:rPr>
          <w:szCs w:val="20"/>
        </w:rPr>
      </w:pPr>
      <w:r>
        <w:rPr>
          <w:b/>
          <w:bCs/>
          <w:szCs w:val="20"/>
        </w:rPr>
        <w:t xml:space="preserve">DV-EST-043:</w:t>
      </w:r>
      <w:r>
        <w:rPr>
          <w:szCs w:val="20"/>
        </w:rPr>
        <w:t xml:space="preserve"> confirmado de novo (15 listas no cadastro do Item, nenhuma de reanálise).</w:t>
      </w:r>
    </w:p>
    <w:p>
      <w:pPr>
        <w:numPr>
          <w:ilvl w:val="0"/>
          <w:numId w:val="2"/>
        </w:numPr>
        <w:spacing w:after="0" w:line="360" w:lineRule="auto"/>
        <w:rPr>
          <w:szCs w:val="20"/>
        </w:rPr>
      </w:pPr>
      <w:r>
        <w:rPr>
          <w:b/>
          <w:bCs/>
          <w:szCs w:val="20"/>
        </w:rPr>
        <w:t xml:space="preserve">DV-EST-047:</w:t>
      </w:r>
      <w:r>
        <w:rPr>
          <w:szCs w:val="20"/>
        </w:rPr>
        <w:t xml:space="preserve"> a </w:t>
      </w:r>
      <w:r>
        <w:rPr>
          <w:b/>
          <w:bCs/>
          <w:szCs w:val="20"/>
        </w:rPr>
        <w:t xml:space="preserve">consulta vazia</w:t>
      </w:r>
      <w:r>
        <w:rPr>
          <w:szCs w:val="20"/>
        </w:rPr>
        <w:t xml:space="preserve"> tinha causa no cadastro do Item (faltava a marca Retenção); a causa "local sem almoxarifado" na Saída foi </w:t>
      </w:r>
      <w:r>
        <w:rPr>
          <w:b/>
          <w:bCs/>
          <w:szCs w:val="20"/>
        </w:rPr>
        <w:t xml:space="preserve">descartada</w:t>
      </w:r>
      <w:r>
        <w:rPr>
          <w:szCs w:val="20"/>
        </w:rPr>
        <w:t xml:space="preserve">. A Saída funciona com o lote novo e falha só com o </w:t>
      </w:r>
      <w:r>
        <w:rPr>
          <w:szCs w:val="20"/>
        </w:rPr>
        <w:t xml:space="preserve">TESTEPA001</w:t>
      </w:r>
      <w:r>
        <w:rPr>
          <w:szCs w:val="20"/>
        </w:rPr>
        <w:t xml:space="preserve">: é o segundo pedido ao DBA.</w:t>
      </w:r>
    </w:p>
    <w:p>
      <w:pPr>
        <w:numPr>
          <w:ilvl w:val="0"/>
          <w:numId w:val="2"/>
        </w:numPr>
        <w:spacing w:after="0" w:line="360" w:lineRule="auto"/>
        <w:rPr>
          <w:szCs w:val="20"/>
        </w:rPr>
      </w:pPr>
      <w:r>
        <w:rPr>
          <w:b/>
          <w:bCs/>
          <w:szCs w:val="20"/>
        </w:rPr>
        <w:t xml:space="preserve">DV-EST-066:</w:t>
      </w:r>
      <w:r>
        <w:rPr>
          <w:szCs w:val="20"/>
        </w:rPr>
        <w:t xml:space="preserve"> explicado (a lista de almoxarifados do cadastro de Local depende do grupo do usuário); pergunta ao desenvolvimento, não ao DBA.</w:t>
      </w:r>
    </w:p>
    <w:p>
      <w:pPr>
        <w:spacing w:after="0" w:line="360" w:lineRule="auto"/>
        <w:rPr>
          <w:szCs w:val="20"/>
        </w:rPr>
      </w:pPr>
      <w:r>
        <w:rPr>
          <w:szCs w:val="20"/>
        </w:rPr>
        <w:t xml:space="preserve">O teste pela tela não alcança estas causas. Cada pedido traz o </w:t>
      </w:r>
      <w:r>
        <w:rPr>
          <w:b/>
          <w:bCs/>
          <w:szCs w:val="20"/>
        </w:rPr>
        <w:t xml:space="preserve">dado do ambiente de teste</w:t>
      </w:r>
      <w:r>
        <w:rPr>
          <w:szCs w:val="20"/>
        </w:rPr>
        <w:t xml:space="preserve"> e </w:t>
      </w:r>
      <w:r>
        <w:rPr>
          <w:b/>
          <w:bCs/>
          <w:szCs w:val="20"/>
        </w:rPr>
        <w:t xml:space="preserve">o que informar de volta</w:t>
      </w:r>
      <w:r>
        <w:rPr>
          <w:szCs w:val="20"/>
        </w:rPr>
        <w:t xml:space="preserve">. Nenhum pede alteração de dado: são consultas e uma execução em transação de teste.</w:t>
      </w:r>
    </w:p>
    <w:tbl>
      <w:tblPr>
        <w:tblStyle w:val="Tabelacomgrade"/>
        <w:tblW w:w="9631" w:type="dxa"/>
        <w:tblLayout w:type="fixed"/>
        <w:tblLook w:val="04A0" w:firstRow="1" w:lastRow="0" w:firstColumn="1" w:lastColumn="0" w:noHBand="0" w:noVBand="1"/>
      </w:tblPr>
      <w:tblGrid>
        <w:gridCol w:w="341"/>
        <w:gridCol w:w="1589"/>
        <w:gridCol w:w="2317"/>
        <w:gridCol w:w="2213"/>
        <w:gridCol w:w="3171"/>
      </w:tblGrid>
      <w:tr>
        <w:trPr>
          <w:tblHeader/>
          <w:cantSplit/>
        </w:trPr>
        <w:tc>
          <w:tcPr>
            <w:tcW w:w="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 de teste</w:t>
            </w:r>
          </w:p>
        </w:tc>
        <w:tc>
          <w:tcPr>
            <w:tcW w:w="3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informar</w:t>
            </w:r>
          </w:p>
        </w:tc>
      </w:tr>
      <w:tr>
        <w:trPr>
          <w:cantSplit/>
        </w:trPr>
        <w:tc>
          <w:tcPr>
            <w:tcW w:w="341" w:type="dxa"/>
          </w:tcPr>
          <w:p>
            <w:pPr>
              <w:widowControl/>
              <w:spacing w:after="0" w:line="276" w:lineRule="auto"/>
              <w:jc w:val="left"/>
              <w:rPr>
                <w:sz w:val="18"/>
                <w:szCs w:val="18"/>
              </w:rPr>
            </w:pPr>
            <w:r>
              <w:rPr>
                <w:sz w:val="18"/>
                <w:szCs w:val="20"/>
              </w:rPr>
              <w:t xml:space="preserve">1</w:t>
            </w:r>
          </w:p>
        </w:tc>
        <w:tc>
          <w:tcPr>
            <w:tcW w:w="1589" w:type="dxa"/>
          </w:tcPr>
          <w:p>
            <w:pPr>
              <w:widowControl/>
              <w:spacing w:after="0" w:line="276" w:lineRule="auto"/>
              <w:jc w:val="left"/>
              <w:rPr>
                <w:sz w:val="18"/>
                <w:szCs w:val="18"/>
              </w:rPr>
            </w:pPr>
            <w:r>
              <w:rPr>
                <w:sz w:val="18"/>
                <w:szCs w:val="20"/>
              </w:rPr>
              <w:t xml:space="preserve">DV-EST-016: o Endereçamento mostra "sucesso" e não grava</w:t>
            </w:r>
          </w:p>
        </w:tc>
        <w:tc>
          <w:tcPr>
            <w:tcW w:w="2317" w:type="dxa"/>
          </w:tcPr>
          <w:p>
            <w:pPr>
              <w:widowControl/>
              <w:spacing w:after="0" w:line="276" w:lineRule="auto"/>
              <w:jc w:val="left"/>
              <w:rPr>
                <w:sz w:val="18"/>
                <w:szCs w:val="18"/>
              </w:rPr>
            </w:pPr>
            <w:r>
              <w:rPr>
                <w:sz w:val="18"/>
                <w:szCs w:val="20"/>
              </w:rPr>
              <w:t xml:space="preserve">Executar a rotina </w:t>
            </w:r>
            <w:r>
              <w:rPr>
                <w:sz w:val="18"/>
                <w:szCs w:val="20"/>
              </w:rPr>
              <w:t xml:space="preserve">pFinalizaRecebimento</w:t>
            </w:r>
            <w:r>
              <w:rPr>
                <w:sz w:val="18"/>
                <w:szCs w:val="20"/>
              </w:rPr>
              <w:t xml:space="preserve"> (a mesma que a tela chama) para a </w:t>
            </w:r>
            <w:r>
              <w:rPr>
                <w:sz w:val="18"/>
                <w:b/>
                <w:bCs/>
                <w:szCs w:val="20"/>
              </w:rPr>
              <w:t xml:space="preserve">nota fiscal 9006</w:t>
            </w:r>
            <w:r>
              <w:rPr>
                <w:sz w:val="18"/>
                <w:szCs w:val="20"/>
              </w:rPr>
              <w:t xml:space="preserve">, com o usuário administrador de teste, dentro de uma transação de teste. A rotina abre uma transação e </w:t>
            </w:r>
            <w:r>
              <w:rPr>
                <w:sz w:val="18"/>
                <w:b/>
                <w:bCs/>
                <w:szCs w:val="20"/>
              </w:rPr>
              <w:t xml:space="preserve">desfaz tudo</w:t>
            </w:r>
            <w:r>
              <w:rPr>
                <w:sz w:val="18"/>
                <w:szCs w:val="20"/>
              </w:rPr>
              <w:t xml:space="preserve"> se algo falha, e a tela não confere o resultado</w:t>
            </w:r>
          </w:p>
        </w:tc>
        <w:tc>
          <w:tcPr>
            <w:tcW w:w="2213" w:type="dxa"/>
          </w:tcPr>
          <w:p>
            <w:pPr>
              <w:widowControl/>
              <w:spacing w:after="0" w:line="276" w:lineRule="auto"/>
              <w:jc w:val="left"/>
              <w:rPr>
                <w:sz w:val="18"/>
                <w:szCs w:val="18"/>
              </w:rPr>
            </w:pPr>
            <w:r>
              <w:rPr>
                <w:sz w:val="18"/>
                <w:szCs w:val="20"/>
              </w:rPr>
              <w:t xml:space="preserve">Recebimento </w:t>
            </w:r>
            <w:r>
              <w:rPr>
                <w:sz w:val="18"/>
                <w:b/>
                <w:bCs/>
                <w:szCs w:val="20"/>
              </w:rPr>
              <w:t xml:space="preserve">00016</w:t>
            </w:r>
            <w:r>
              <w:rPr>
                <w:sz w:val="18"/>
                <w:szCs w:val="20"/>
              </w:rPr>
              <w:t xml:space="preserve">, NF </w:t>
            </w:r>
            <w:r>
              <w:rPr>
                <w:sz w:val="18"/>
                <w:b/>
                <w:bCs/>
                <w:szCs w:val="20"/>
              </w:rPr>
              <w:t xml:space="preserve">9006</w:t>
            </w:r>
            <w:r>
              <w:rPr>
                <w:sz w:val="18"/>
                <w:szCs w:val="20"/>
              </w:rPr>
              <w:t xml:space="preserve">, item </w:t>
            </w:r>
            <w:r>
              <w:rPr>
                <w:sz w:val="18"/>
                <w:szCs w:val="20"/>
              </w:rPr>
              <w:t xml:space="preserve">TST0002</w:t>
            </w:r>
            <w:r>
              <w:rPr>
                <w:sz w:val="18"/>
                <w:szCs w:val="20"/>
              </w:rPr>
              <w:t xml:space="preserve">, lote </w:t>
            </w:r>
            <w:r>
              <w:rPr>
                <w:sz w:val="18"/>
                <w:szCs w:val="20"/>
              </w:rPr>
              <w:t xml:space="preserve">TESTELOTE002</w:t>
            </w:r>
            <w:r>
              <w:rPr>
                <w:sz w:val="18"/>
                <w:szCs w:val="20"/>
              </w:rPr>
              <w:t xml:space="preserve"> (100 unidades), local </w:t>
            </w:r>
            <w:r>
              <w:rPr>
                <w:sz w:val="18"/>
                <w:szCs w:val="20"/>
              </w:rPr>
              <w:t xml:space="preserve">902 - TESTE LOCAL QUARENTENA</w:t>
            </w:r>
            <w:r>
              <w:rPr>
                <w:sz w:val="18"/>
                <w:szCs w:val="20"/>
              </w:rPr>
              <w:t xml:space="preserve">, endereço </w:t>
            </w:r>
            <w:r>
              <w:rPr>
                <w:sz w:val="18"/>
                <w:szCs w:val="20"/>
              </w:rPr>
              <w:t xml:space="preserve">L902-R901-C901-A901</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mensagem de erro</w:t>
            </w:r>
            <w:r>
              <w:rPr>
                <w:sz w:val="18"/>
                <w:szCs w:val="20"/>
              </w:rPr>
              <w:t xml:space="preserve"> e a </w:t>
            </w:r>
            <w:r>
              <w:rPr>
                <w:sz w:val="18"/>
                <w:b/>
                <w:bCs/>
                <w:szCs w:val="20"/>
              </w:rPr>
              <w:t xml:space="preserve">tabela ou restrição</w:t>
            </w:r>
            <w:r>
              <w:rPr>
                <w:sz w:val="18"/>
                <w:szCs w:val="20"/>
              </w:rPr>
              <w:t xml:space="preserve"> onde falha. Se a rotina implantada no banco de teste é </w:t>
            </w:r>
            <w:r>
              <w:rPr>
                <w:sz w:val="18"/>
                <w:b/>
                <w:bCs/>
                <w:szCs w:val="20"/>
              </w:rPr>
              <w:t xml:space="preserve">igual</w:t>
            </w:r>
            <w:r>
              <w:rPr>
                <w:sz w:val="18"/>
                <w:szCs w:val="20"/>
              </w:rPr>
              <w:t xml:space="preserve"> à do pacote (</w:t>
            </w:r>
            <w:r>
              <w:rPr>
                <w:sz w:val="18"/>
                <w:szCs w:val="20"/>
              </w:rPr>
              <w:t xml:space="preserve">Hsolutions.Estoque.DB/Stored Procedures/pFinalizaRecebimento.sql</w:t>
            </w:r>
            <w:r>
              <w:rPr>
                <w:sz w:val="18"/>
                <w:szCs w:val="20"/>
              </w:rPr>
              <w:t xml:space="preserve">)</w:t>
            </w:r>
          </w:p>
        </w:tc>
      </w:tr>
      <w:tr>
        <w:trPr>
          <w:cantSplit/>
        </w:trPr>
        <w:tc>
          <w:tcPr>
            <w:tcW w:w="341" w:type="dxa"/>
          </w:tcPr>
          <w:p>
            <w:pPr>
              <w:widowControl/>
              <w:spacing w:after="0" w:line="276" w:lineRule="auto"/>
              <w:jc w:val="left"/>
              <w:rPr>
                <w:sz w:val="18"/>
                <w:szCs w:val="18"/>
              </w:rPr>
            </w:pPr>
            <w:r>
              <w:rPr>
                <w:sz w:val="18"/>
                <w:szCs w:val="20"/>
              </w:rPr>
              <w:t xml:space="preserve">2</w:t>
            </w:r>
          </w:p>
        </w:tc>
        <w:tc>
          <w:tcPr>
            <w:tcW w:w="1589" w:type="dxa"/>
          </w:tcPr>
          <w:p>
            <w:pPr>
              <w:widowControl/>
              <w:spacing w:after="0" w:line="276" w:lineRule="auto"/>
              <w:jc w:val="left"/>
              <w:rPr>
                <w:sz w:val="18"/>
                <w:szCs w:val="18"/>
              </w:rPr>
            </w:pPr>
            <w:r>
              <w:rPr>
                <w:sz w:val="18"/>
                <w:szCs w:val="20"/>
              </w:rPr>
              <w:t xml:space="preserve">DV-EST-046: a remessa não finaliza ("Erro ao gerar a solicitação do material!")</w:t>
            </w:r>
          </w:p>
        </w:tc>
        <w:tc>
          <w:tcPr>
            <w:tcW w:w="2317" w:type="dxa"/>
          </w:tcPr>
          <w:p>
            <w:pPr>
              <w:widowControl/>
              <w:spacing w:after="0" w:line="276" w:lineRule="auto"/>
              <w:jc w:val="left"/>
              <w:rPr>
                <w:sz w:val="18"/>
                <w:szCs w:val="18"/>
              </w:rPr>
            </w:pPr>
            <w:r>
              <w:rPr>
                <w:sz w:val="18"/>
                <w:szCs w:val="20"/>
              </w:rPr>
              <w:t xml:space="preserve">Capturar a </w:t>
            </w:r>
            <w:r>
              <w:rPr>
                <w:sz w:val="18"/>
                <w:b/>
                <w:bCs/>
                <w:szCs w:val="20"/>
              </w:rPr>
              <w:t xml:space="preserve">exceção real</w:t>
            </w:r>
            <w:r>
              <w:rPr>
                <w:sz w:val="18"/>
                <w:szCs w:val="20"/>
              </w:rPr>
              <w:t xml:space="preserve"> durante o Finalizar: a tela troca qualquer erro por essa mensagem genérica. Pode ser o registro de erros do aplicativo ou um rastreio no banco enquanto se clica em Finalizar</w:t>
            </w:r>
          </w:p>
        </w:tc>
        <w:tc>
          <w:tcPr>
            <w:tcW w:w="2213" w:type="dxa"/>
          </w:tcPr>
          <w:p>
            <w:pPr>
              <w:widowControl/>
              <w:spacing w:after="0" w:line="276" w:lineRule="auto"/>
              <w:jc w:val="left"/>
              <w:rPr>
                <w:sz w:val="18"/>
                <w:szCs w:val="18"/>
              </w:rPr>
            </w:pPr>
            <w:r>
              <w:rPr>
                <w:sz w:val="18"/>
                <w:szCs w:val="20"/>
              </w:rPr>
              <w:t xml:space="preserve">Remessa </w:t>
            </w:r>
            <w:r>
              <w:rPr>
                <w:sz w:val="18"/>
                <w:b/>
                <w:bCs/>
                <w:szCs w:val="20"/>
              </w:rPr>
              <w:t xml:space="preserve">00002</w:t>
            </w:r>
            <w:r>
              <w:rPr>
                <w:sz w:val="18"/>
                <w:szCs w:val="20"/>
              </w:rPr>
              <w:t xml:space="preserve"> (</w:t>
            </w:r>
            <w:r>
              <w:rPr>
                <w:sz w:val="18"/>
                <w:szCs w:val="20"/>
              </w:rPr>
              <w:t xml:space="preserve">TESTE ALMOX</w:t>
            </w:r>
            <w:r>
              <w:rPr>
                <w:sz w:val="18"/>
                <w:szCs w:val="20"/>
              </w:rPr>
              <w:t xml:space="preserve"> → </w:t>
            </w:r>
            <w:r>
              <w:rPr>
                <w:sz w:val="18"/>
                <w:szCs w:val="20"/>
              </w:rPr>
              <w:t xml:space="preserve">TESTE PJ MIN LTDA</w:t>
            </w:r>
            <w:r>
              <w:rPr>
                <w:sz w:val="18"/>
                <w:szCs w:val="20"/>
              </w:rPr>
              <w:t xml:space="preserve">), item </w:t>
            </w:r>
            <w:r>
              <w:rPr>
                <w:sz w:val="18"/>
                <w:szCs w:val="20"/>
              </w:rPr>
              <w:t xml:space="preserve">TST0003</w:t>
            </w:r>
            <w:r>
              <w:rPr>
                <w:sz w:val="18"/>
                <w:szCs w:val="20"/>
              </w:rPr>
              <w:t xml:space="preserve">, lote </w:t>
            </w:r>
            <w:r>
              <w:rPr>
                <w:sz w:val="18"/>
                <w:szCs w:val="20"/>
              </w:rPr>
              <w:t xml:space="preserve">TA0002/26</w:t>
            </w:r>
            <w:r>
              <w:rPr>
                <w:sz w:val="18"/>
                <w:szCs w:val="20"/>
              </w:rPr>
              <w:t xml:space="preserve">, 5 unidades, com a justificativa preenchida. Na rodada 8, as remessas </w:t>
            </w:r>
            <w:r>
              <w:rPr>
                <w:sz w:val="18"/>
                <w:b/>
                <w:bCs/>
                <w:szCs w:val="20"/>
              </w:rPr>
              <w:t xml:space="preserve">00003</w:t>
            </w:r>
            <w:r>
              <w:rPr>
                <w:sz w:val="18"/>
                <w:szCs w:val="20"/>
              </w:rPr>
              <w:t xml:space="preserve"> (manual) e </w:t>
            </w:r>
            <w:r>
              <w:rPr>
                <w:sz w:val="18"/>
                <w:b/>
                <w:bCs/>
                <w:szCs w:val="20"/>
              </w:rPr>
              <w:t xml:space="preserve">004</w:t>
            </w:r>
            <w:r>
              <w:rPr>
                <w:sz w:val="18"/>
                <w:szCs w:val="20"/>
              </w:rPr>
              <w:t xml:space="preserve"> (gerada por kit) deram o mesmo erro, com </w:t>
            </w:r>
            <w:r>
              <w:rPr>
                <w:sz w:val="18"/>
                <w:b/>
                <w:bCs/>
                <w:szCs w:val="20"/>
              </w:rPr>
              <w:t xml:space="preserve">Origem e Responsável vazios e travados</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exceção e o comando SQL</w:t>
            </w:r>
            <w:r>
              <w:rPr>
                <w:sz w:val="18"/>
                <w:szCs w:val="20"/>
              </w:rPr>
              <w:t xml:space="preserve"> que falha na geração da solicitação de material</w:t>
            </w:r>
          </w:p>
        </w:tc>
      </w:tr>
      <w:tr>
        <w:trPr>
          <w:cantSplit/>
        </w:trPr>
        <w:tc>
          <w:tcPr>
            <w:tcW w:w="341" w:type="dxa"/>
          </w:tcPr>
          <w:p>
            <w:pPr>
              <w:widowControl/>
              <w:spacing w:after="0" w:line="276" w:lineRule="auto"/>
              <w:jc w:val="left"/>
              <w:rPr>
                <w:sz w:val="18"/>
                <w:szCs w:val="18"/>
              </w:rPr>
            </w:pPr>
            <w:r>
              <w:rPr>
                <w:sz w:val="18"/>
                <w:szCs w:val="20"/>
              </w:rPr>
              <w:t xml:space="preserve">3</w:t>
            </w:r>
          </w:p>
        </w:tc>
        <w:tc>
          <w:tcPr>
            <w:tcW w:w="1589" w:type="dxa"/>
          </w:tcPr>
          <w:p>
            <w:pPr>
              <w:widowControl/>
              <w:spacing w:after="0" w:line="276" w:lineRule="auto"/>
              <w:jc w:val="left"/>
              <w:rPr>
                <w:sz w:val="18"/>
                <w:szCs w:val="18"/>
              </w:rPr>
            </w:pPr>
            <w:r>
              <w:rPr>
                <w:sz w:val="18"/>
                <w:szCs w:val="20"/>
              </w:rPr>
              <w:t xml:space="preserve">DV-EST-047: a amostra de retenção gravada não aparece na consulta nem na saída</w:t>
            </w:r>
          </w:p>
        </w:tc>
        <w:tc>
          <w:tcPr>
            <w:tcW w:w="2317" w:type="dxa"/>
          </w:tcPr>
          <w:p>
            <w:pPr>
              <w:widowControl/>
              <w:spacing w:after="0" w:line="276" w:lineRule="auto"/>
              <w:jc w:val="left"/>
              <w:rPr>
                <w:sz w:val="18"/>
                <w:szCs w:val="18"/>
              </w:rPr>
            </w:pPr>
            <w:r>
              <w:rPr>
                <w:sz w:val="18"/>
                <w:szCs w:val="20"/>
              </w:rPr>
              <w:t xml:space="preserve">Consultar o que foi </w:t>
            </w:r>
            <w:r>
              <w:rPr>
                <w:sz w:val="18"/>
                <w:b/>
                <w:bCs/>
                <w:szCs w:val="20"/>
              </w:rPr>
              <w:t xml:space="preserve">gravado</w:t>
            </w:r>
            <w:r>
              <w:rPr>
                <w:sz w:val="18"/>
                <w:szCs w:val="20"/>
              </w:rPr>
              <w:t xml:space="preserve"> para o lote e comparar com o que a tela </w:t>
            </w:r>
            <w:r>
              <w:rPr>
                <w:sz w:val="18"/>
                <w:b/>
                <w:bCs/>
                <w:szCs w:val="20"/>
              </w:rPr>
              <w:t xml:space="preserve">Consulta Disponibilidade (Referência - Retenção - Estabilidade)</w:t>
            </w:r>
            <w:r>
              <w:rPr>
                <w:sz w:val="18"/>
                <w:szCs w:val="20"/>
              </w:rPr>
              <w:t xml:space="preserve"> lê</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TESTEPA001</w:t>
            </w:r>
            <w:r>
              <w:rPr>
                <w:sz w:val="18"/>
                <w:szCs w:val="20"/>
              </w:rPr>
              <w:t xml:space="preserve">: 5 unidades em retenção no almoxarifado </w:t>
            </w:r>
            <w:r>
              <w:rPr>
                <w:sz w:val="18"/>
                <w:szCs w:val="20"/>
              </w:rPr>
              <w:t xml:space="preserve">00018 - TESTE RETENCAO</w:t>
            </w:r>
            <w:r>
              <w:rPr>
                <w:sz w:val="18"/>
                <w:szCs w:val="20"/>
              </w:rPr>
              <w:t xml:space="preserve">, local </w:t>
            </w:r>
            <w:r>
              <w:rPr>
                <w:sz w:val="18"/>
                <w:szCs w:val="20"/>
              </w:rPr>
              <w:t xml:space="preserve">907 - TESTE LOCAL RETENCAO</w:t>
            </w:r>
            <w:r>
              <w:rPr>
                <w:sz w:val="18"/>
                <w:szCs w:val="20"/>
              </w:rPr>
              <w:t xml:space="preserve">, endereço </w:t>
            </w:r>
            <w:r>
              <w:rPr>
                <w:sz w:val="18"/>
                <w:szCs w:val="20"/>
              </w:rPr>
              <w:t xml:space="preserve">L907-R901-C901-A901</w:t>
            </w:r>
          </w:p>
        </w:tc>
        <w:tc>
          <w:tcPr>
            <w:tcW w:w="3171" w:type="dxa"/>
          </w:tcPr>
          <w:p>
            <w:pPr>
              <w:widowControl/>
              <w:spacing w:after="0" w:line="276" w:lineRule="auto"/>
              <w:jc w:val="left"/>
              <w:rPr>
                <w:sz w:val="18"/>
                <w:szCs w:val="18"/>
              </w:rPr>
            </w:pPr>
            <w:r>
              <w:rPr>
                <w:sz w:val="18"/>
                <w:szCs w:val="20"/>
              </w:rPr>
              <w:t xml:space="preserve">As </w:t>
            </w:r>
            <w:r>
              <w:rPr>
                <w:sz w:val="18"/>
                <w:b/>
                <w:bCs/>
                <w:szCs w:val="20"/>
              </w:rPr>
              <w:t xml:space="preserve">linhas gravadas</w:t>
            </w:r>
            <w:r>
              <w:rPr>
                <w:sz w:val="18"/>
                <w:szCs w:val="20"/>
              </w:rPr>
              <w:t xml:space="preserve"> (saldo por endereço e reserva regulatória) e </w:t>
            </w:r>
            <w:r>
              <w:rPr>
                <w:sz w:val="18"/>
                <w:b/>
                <w:bCs/>
                <w:szCs w:val="20"/>
              </w:rPr>
              <w:t xml:space="preserve">qual campo</w:t>
            </w:r>
            <w:r>
              <w:rPr>
                <w:sz w:val="18"/>
                <w:szCs w:val="20"/>
              </w:rPr>
              <w:t xml:space="preserve"> (tipo, situação ou almoxarifado) impede a consulta de enxergá-las</w:t>
            </w:r>
          </w:p>
        </w:tc>
      </w:tr>
      <w:tr>
        <w:trPr>
          <w:cantSplit/>
        </w:trPr>
        <w:tc>
          <w:tcPr>
            <w:tcW w:w="341" w:type="dxa"/>
          </w:tcPr>
          <w:p>
            <w:pPr>
              <w:widowControl/>
              <w:spacing w:after="0" w:line="276" w:lineRule="auto"/>
              <w:jc w:val="left"/>
              <w:rPr>
                <w:sz w:val="18"/>
                <w:szCs w:val="18"/>
              </w:rPr>
            </w:pPr>
            <w:r>
              <w:rPr>
                <w:sz w:val="18"/>
                <w:szCs w:val="20"/>
              </w:rPr>
              <w:t xml:space="preserve">4</w:t>
            </w:r>
          </w:p>
        </w:tc>
        <w:tc>
          <w:tcPr>
            <w:tcW w:w="1589" w:type="dxa"/>
          </w:tcPr>
          <w:p>
            <w:pPr>
              <w:widowControl/>
              <w:spacing w:after="0" w:line="276" w:lineRule="auto"/>
              <w:jc w:val="left"/>
              <w:rPr>
                <w:sz w:val="18"/>
                <w:szCs w:val="18"/>
              </w:rPr>
            </w:pPr>
            <w:r>
              <w:rPr>
                <w:sz w:val="18"/>
                <w:szCs w:val="20"/>
              </w:rPr>
              <w:t xml:space="preserve">DV-EST-044: a movimentação de quarentena fez o saldo desaparecer</w:t>
            </w:r>
          </w:p>
        </w:tc>
        <w:tc>
          <w:tcPr>
            <w:tcW w:w="2317" w:type="dxa"/>
          </w:tcPr>
          <w:p>
            <w:pPr>
              <w:widowControl/>
              <w:spacing w:after="0" w:line="276" w:lineRule="auto"/>
              <w:jc w:val="left"/>
              <w:rPr>
                <w:sz w:val="18"/>
                <w:szCs w:val="18"/>
              </w:rPr>
            </w:pPr>
            <w:r>
              <w:rPr>
                <w:sz w:val="18"/>
                <w:szCs w:val="20"/>
              </w:rPr>
              <w:t xml:space="preserve">Listar os </w:t>
            </w:r>
            <w:r>
              <w:rPr>
                <w:sz w:val="18"/>
                <w:b/>
                <w:bCs/>
                <w:szCs w:val="20"/>
              </w:rPr>
              <w:t xml:space="preserve">registros de movimentação e de saldo</w:t>
            </w:r>
            <w:r>
              <w:rPr>
                <w:sz w:val="18"/>
                <w:szCs w:val="20"/>
              </w:rPr>
              <w:t xml:space="preserve"> do lote e mostrar o que a saída e a entrada gravaram</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TESTEPA003</w:t>
            </w:r>
            <w:r>
              <w:rPr>
                <w:sz w:val="18"/>
                <w:szCs w:val="20"/>
              </w:rPr>
              <w:t xml:space="preserve"> (item </w:t>
            </w:r>
            <w:r>
              <w:rPr>
                <w:sz w:val="18"/>
                <w:szCs w:val="20"/>
              </w:rPr>
              <w:t xml:space="preserve">TST0003</w:t>
            </w:r>
            <w:r>
              <w:rPr>
                <w:sz w:val="18"/>
                <w:szCs w:val="20"/>
              </w:rPr>
              <w:t xml:space="preserve">, entrada </w:t>
            </w:r>
            <w:r>
              <w:rPr>
                <w:sz w:val="18"/>
                <w:szCs w:val="20"/>
              </w:rPr>
              <w:t xml:space="preserve">TA0005/26</w:t>
            </w:r>
            <w:r>
              <w:rPr>
                <w:sz w:val="18"/>
                <w:szCs w:val="20"/>
              </w:rPr>
              <w:t xml:space="preserve">): saiu de </w:t>
            </w:r>
            <w:r>
              <w:rPr>
                <w:sz w:val="18"/>
                <w:szCs w:val="20"/>
              </w:rPr>
              <w:t xml:space="preserve">L902-R901-C905-A901</w:t>
            </w:r>
            <w:r>
              <w:rPr>
                <w:sz w:val="18"/>
                <w:szCs w:val="20"/>
              </w:rPr>
              <w:t xml:space="preserve"> e o destino foi </w:t>
            </w:r>
            <w:r>
              <w:rPr>
                <w:sz w:val="18"/>
                <w:szCs w:val="20"/>
              </w:rPr>
              <w:t xml:space="preserve">L905-R000-C000-A000</w:t>
            </w:r>
            <w:r>
              <w:rPr>
                <w:sz w:val="18"/>
                <w:szCs w:val="20"/>
              </w:rPr>
              <w:t xml:space="preserve"> (endereço que não existe), 80 unidades</w:t>
            </w:r>
          </w:p>
        </w:tc>
        <w:tc>
          <w:tcPr>
            <w:tcW w:w="3171" w:type="dxa"/>
          </w:tcPr>
          <w:p>
            <w:pPr>
              <w:widowControl/>
              <w:spacing w:after="0" w:line="276" w:lineRule="auto"/>
              <w:jc w:val="left"/>
              <w:rPr>
                <w:sz w:val="18"/>
                <w:szCs w:val="18"/>
              </w:rPr>
            </w:pPr>
            <w:r>
              <w:rPr>
                <w:sz w:val="18"/>
                <w:szCs w:val="20"/>
              </w:rPr>
              <w:t xml:space="preserve">Se a </w:t>
            </w:r>
            <w:r>
              <w:rPr>
                <w:sz w:val="18"/>
                <w:b/>
                <w:bCs/>
                <w:szCs w:val="20"/>
              </w:rPr>
              <w:t xml:space="preserve">entrada no destino foi gravada</w:t>
            </w:r>
            <w:r>
              <w:rPr>
                <w:sz w:val="18"/>
                <w:szCs w:val="20"/>
              </w:rPr>
              <w:t xml:space="preserve"> (e onde) ou só a saída; se a quantidade ainda existe em alguma tabela</w:t>
            </w:r>
          </w:p>
        </w:tc>
      </w:tr>
      <w:tr>
        <w:trPr>
          <w:cantSplit/>
        </w:trPr>
        <w:tc>
          <w:tcPr>
            <w:tcW w:w="341" w:type="dxa"/>
          </w:tcPr>
          <w:p>
            <w:pPr>
              <w:widowControl/>
              <w:spacing w:after="0" w:line="276" w:lineRule="auto"/>
              <w:jc w:val="left"/>
              <w:rPr>
                <w:sz w:val="18"/>
                <w:szCs w:val="18"/>
              </w:rPr>
            </w:pPr>
            <w:r>
              <w:rPr>
                <w:sz w:val="18"/>
                <w:szCs w:val="20"/>
              </w:rPr>
              <w:t xml:space="preserve">5</w:t>
            </w:r>
          </w:p>
        </w:tc>
        <w:tc>
          <w:tcPr>
            <w:tcW w:w="1589" w:type="dxa"/>
          </w:tcPr>
          <w:p>
            <w:pPr>
              <w:widowControl/>
              <w:spacing w:after="0" w:line="276" w:lineRule="auto"/>
              <w:jc w:val="left"/>
              <w:rPr>
                <w:sz w:val="18"/>
                <w:szCs w:val="18"/>
              </w:rPr>
            </w:pPr>
            <w:r>
              <w:rPr>
                <w:sz w:val="18"/>
                <w:szCs w:val="20"/>
              </w:rPr>
              <w:t xml:space="preserve">DV-EST-041 e 043: o prazo de reanálise do item</w:t>
            </w:r>
          </w:p>
        </w:tc>
        <w:tc>
          <w:tcPr>
            <w:tcW w:w="2317" w:type="dxa"/>
          </w:tcPr>
          <w:p>
            <w:pPr>
              <w:widowControl/>
              <w:spacing w:after="0" w:line="276" w:lineRule="auto"/>
              <w:jc w:val="left"/>
              <w:rPr>
                <w:sz w:val="18"/>
                <w:szCs w:val="18"/>
              </w:rPr>
            </w:pPr>
            <w:r>
              <w:rPr>
                <w:sz w:val="18"/>
                <w:szCs w:val="20"/>
              </w:rPr>
              <w:t xml:space="preserve">Dizer </w:t>
            </w:r>
            <w:r>
              <w:rPr>
                <w:sz w:val="18"/>
                <w:b/>
                <w:bCs/>
                <w:szCs w:val="20"/>
              </w:rPr>
              <w:t xml:space="preserve">como o item `TST0001` recebeu</w:t>
            </w:r>
            <w:r>
              <w:rPr>
                <w:sz w:val="18"/>
                <w:szCs w:val="20"/>
              </w:rPr>
              <w:t xml:space="preserve"> a classificação de reanálise: carga inicial ou script. O campo não aparece na tela de Item</w:t>
            </w:r>
          </w:p>
        </w:tc>
        <w:tc>
          <w:tcPr>
            <w:tcW w:w="2213" w:type="dxa"/>
          </w:tcPr>
          <w:p>
            <w:pPr>
              <w:widowControl/>
              <w:spacing w:after="0" w:line="276" w:lineRule="auto"/>
              <w:jc w:val="left"/>
              <w:rPr>
                <w:sz w:val="18"/>
                <w:szCs w:val="18"/>
              </w:rPr>
            </w:pPr>
            <w:r>
              <w:rPr>
                <w:sz w:val="18"/>
                <w:szCs w:val="20"/>
              </w:rPr>
              <w:t xml:space="preserve">Item </w:t>
            </w:r>
            <w:r>
              <w:rPr>
                <w:sz w:val="18"/>
                <w:szCs w:val="20"/>
              </w:rPr>
              <w:t xml:space="preserve">TST0001</w:t>
            </w:r>
            <w:r>
              <w:rPr>
                <w:sz w:val="18"/>
                <w:szCs w:val="20"/>
              </w:rPr>
              <w:t xml:space="preserve">, lote </w:t>
            </w:r>
            <w:r>
              <w:rPr>
                <w:sz w:val="18"/>
                <w:szCs w:val="20"/>
              </w:rPr>
              <w:t xml:space="preserve">TESTELOTE003</w:t>
            </w:r>
            <w:r>
              <w:rPr>
                <w:sz w:val="18"/>
                <w:szCs w:val="20"/>
              </w:rPr>
              <w:t xml:space="preserve"> (reanálise em 12/10/2028)</w:t>
            </w:r>
          </w:p>
        </w:tc>
        <w:tc>
          <w:tcPr>
            <w:tcW w:w="3171" w:type="dxa"/>
          </w:tcPr>
          <w:p>
            <w:pPr>
              <w:widowControl/>
              <w:spacing w:after="0" w:line="276" w:lineRule="auto"/>
              <w:jc w:val="left"/>
              <w:rPr>
                <w:sz w:val="18"/>
                <w:szCs w:val="18"/>
              </w:rPr>
            </w:pPr>
            <w:r>
              <w:rPr>
                <w:sz w:val="18"/>
                <w:szCs w:val="20"/>
              </w:rPr>
              <w:t xml:space="preserve">O </w:t>
            </w:r>
            <w:r>
              <w:rPr>
                <w:sz w:val="18"/>
                <w:b/>
                <w:bCs/>
                <w:szCs w:val="20"/>
              </w:rPr>
              <w:t xml:space="preserve">valor gravado</w:t>
            </w:r>
            <w:r>
              <w:rPr>
                <w:sz w:val="18"/>
                <w:szCs w:val="20"/>
              </w:rPr>
              <w:t xml:space="preserve"> no item e </w:t>
            </w:r>
            <w:r>
              <w:rPr>
                <w:sz w:val="18"/>
                <w:b/>
                <w:bCs/>
                <w:szCs w:val="20"/>
              </w:rPr>
              <w:t xml:space="preserve">de onde veio</w:t>
            </w:r>
            <w:r>
              <w:rPr>
                <w:sz w:val="18"/>
                <w:szCs w:val="20"/>
              </w:rPr>
              <w:t xml:space="preserve"> (script, carga ou tela)</w:t>
            </w:r>
          </w:p>
        </w:tc>
      </w:tr>
    </w:tbl>
    <w:p>
      <w:pPr>
        <w:spacing w:after="0" w:line="360" w:lineRule="auto"/>
      </w:pPr>
    </w:p>
    <w:p>
      <w:pPr>
        <w:spacing w:after="0" w:line="360" w:lineRule="auto"/>
        <w:rPr>
          <w:szCs w:val="20"/>
        </w:rPr>
      </w:pPr>
      <w:r>
        <w:rPr>
          <w:szCs w:val="20"/>
        </w:rPr>
        <w:t xml:space="preserve">Os 2 casos de prioridade alta sem conclusão (CT-EST-058 e 091) dependem do desenvolvimento e da área de Produção, não do DBA. As respostas do DBA fecham a causa dos DV-EST-016 e 047 (correções 1 e 10 da seção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COMO O MÓDULO PASSA A "APTO"</w:t>
      </w:r>
    </w:p>
    <w:p>
      <w:pPr>
        <w:keepNext/>
        <w:spacing w:after="0" w:line="360" w:lineRule="auto"/>
      </w:pPr>
    </w:p>
    <w:p>
      <w:pPr>
        <w:spacing w:after="0" w:line="360" w:lineRule="auto"/>
        <w:rPr>
          <w:szCs w:val="20"/>
        </w:rPr>
      </w:pPr>
      <w:r>
        <w:rPr>
          <w:szCs w:val="20"/>
        </w:rPr>
        <w:t xml:space="preserve">Executar novamente o plano de testes completo na nova versão, como teste de aceite. A aprovação exige </w:t>
      </w:r>
      <w:r>
        <w:rPr>
          <w:b/>
          <w:bCs/>
          <w:szCs w:val="20"/>
        </w:rPr>
        <w:t xml:space="preserve">100% dos casos de prioridade alta aprovados</w:t>
      </w:r>
      <w:r>
        <w:rPr>
          <w:szCs w:val="20"/>
        </w:rPr>
        <w:t xml:space="preserve"> e a resposta do DBA (seção 6) e a correção dos pontos já explicados pelo código.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Por que o Estoque não está apto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Por que o Estoque não está apto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