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Estoque entre os módulos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0.1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0.1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Primeira versão, para validação com o Estoque, o CQ e a GQ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ideal entre os módulos.</w:t>
      </w:r>
      <w:r>
        <w:rPr>
          <w:szCs w:val="20"/>
        </w:rPr>
        <w:t xml:space="preserve"> O Estoque é o </w:t>
      </w:r>
      <w:r>
        <w:rPr>
          <w:b/>
          <w:bCs/>
          <w:szCs w:val="20"/>
        </w:rPr>
        <w:t xml:space="preserve">dono da situação única do lote</w:t>
      </w:r>
      <w:r>
        <w:rPr>
          <w:szCs w:val="20"/>
        </w:rPr>
        <w:t xml:space="preserve">: guarda, protege e aplica a decisão de quem a toma. Quem decide é o CQ (laudo), a Pessoa Delegada (liberação), a GQ (retenção e recolhimento) ou o sistema (validade). Versão 0.1, de 13/10/2026, para validação com o Estoque, o CQ e a Garantia da Qualidade.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página mostra </w:t>
      </w:r>
      <w:r>
        <w:rPr>
          <w:b/>
          <w:bCs/>
          <w:szCs w:val="20"/>
        </w:rPr>
        <w:t xml:space="preserve">só as travas que envolvem o Estoque</w:t>
      </w:r>
      <w:r>
        <w:rPr>
          <w:szCs w:val="20"/>
        </w:rPr>
        <w:t xml:space="preserve">. O documento completo, com a situação única do lote e as 16 regras para todos os módulos, é "Qualidade entre os módulos: situação do lote e travas" (</w:t>
      </w:r>
      <w:r>
        <w:rPr>
          <w:szCs w:val="20"/>
        </w:rPr>
        <w:t xml:space="preserve">modelo-ideal/01-qualidade-entre-modulos.md</w:t>
      </w:r>
      <w:r>
        <w:rPr>
          <w:szCs w:val="20"/>
        </w:rPr>
        <w:t xml:space="preserve">), na Visão entre módulos. O módulo por dentro está em "O Estoque ideal" (</w:t>
      </w:r>
      <w:r>
        <w:rPr>
          <w:szCs w:val="20"/>
        </w:rPr>
        <w:t xml:space="preserve">est-ideal.md</w:t>
      </w:r>
      <w:r>
        <w:rPr>
          <w:szCs w:val="20"/>
        </w:rPr>
        <w:t xml:space="preserve">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1. O DESENHO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7142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Estoque entre os módulos: as travas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Em destaque, o Estoque. As linhas cheias já existem no legado: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A:</w:t>
      </w:r>
      <w:r>
        <w:rPr>
          <w:szCs w:val="20"/>
        </w:rPr>
        <w:t xml:space="preserve"> o Estoque pede a análise de cada lote ao CQ. Funciona pelas entradas de material e falha pelo Endereçamento (DV-EST-016);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C:</w:t>
      </w:r>
      <w:r>
        <w:rPr>
          <w:szCs w:val="20"/>
        </w:rPr>
        <w:t xml:space="preserve"> a Produção envia o produto acabado ao Estoque;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R:</w:t>
      </w:r>
      <w:r>
        <w:rPr>
          <w:szCs w:val="20"/>
        </w:rPr>
        <w:t xml:space="preserve"> o Comercial reserva e gera a remessa no Estoque;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E:</w:t>
      </w:r>
      <w:r>
        <w:rPr>
          <w:szCs w:val="20"/>
        </w:rPr>
        <w:t xml:space="preserve"> o Estoque envia eventos de entrega e recebimento à Rastreabilidade, sem ler a resposta.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tracejadas precisam ser construídas. </w:t>
      </w:r>
      <w:r>
        <w:rPr>
          <w:b/>
          <w:bCs/>
          <w:szCs w:val="20"/>
        </w:rPr>
        <w:t xml:space="preserve">Quase todas chegam ao Estoque</w:t>
      </w:r>
      <w:r>
        <w:rPr>
          <w:szCs w:val="20"/>
        </w:rPr>
        <w:t xml:space="preserve">, porque é ele que aplica a situação do lote.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2. AS TRAVAS QUE ENVOLVEM O ESTOQUE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3"/>
        <w:gridCol w:w="1473"/>
        <w:gridCol w:w="2937"/>
        <w:gridCol w:w="1473"/>
        <w:gridCol w:w="1666"/>
        <w:gridCol w:w="1669"/>
      </w:tblGrid>
      <w:tr>
        <w:trPr>
          <w:tblHeader/>
          <w:cantSplit/>
        </w:trPr>
        <w:tc>
          <w:tcPr>
            <w:tcW w:w="4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4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Trava</w:t>
            </w:r>
          </w:p>
        </w:tc>
        <w:tc>
          <w:tcPr>
            <w:tcW w:w="29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14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Estoque faz</w:t>
            </w:r>
          </w:p>
        </w:tc>
        <w:tc>
          <w:tcPr>
            <w:tcW w:w="16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 quem</w:t>
            </w:r>
          </w:p>
        </w:tc>
        <w:tc>
          <w:tcPr>
            <w:tcW w:w="16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 legado hoje</w:t>
            </w:r>
          </w:p>
        </w:tc>
      </w:tr>
      <w:tr>
        <w:trPr>
          <w:cantSplit/>
        </w:trPr>
        <w:tc>
          <w:tcPr>
            <w:tcW w:w="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única do lote, respeitada por todos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157 e 189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a situação única de cada lote e a aplica em toda tela: separar, movimentar, remeter, vender; confere de novo na gravação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CQ, GQ, Produção, Comercial, Rastreabilidade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Há situações separadas no saldo, mas faltam "liberado para venda", "retido" e "recolhido"; as travas estão desligadas; o Comercial confere só na lista</w:t>
            </w:r>
          </w:p>
        </w:tc>
      </w:tr>
      <w:tr>
        <w:trPr>
          <w:cantSplit/>
        </w:trPr>
        <w:tc>
          <w:tcPr>
            <w:tcW w:w="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do CQ muda a situação na hora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Recebe o laudo do CQ e muda a situação do lote </w:t>
            </w:r>
            <w:r>
              <w:rPr>
                <w:sz w:val="18"/>
                <w:b/>
                <w:bCs/>
                <w:szCs w:val="20"/>
              </w:rPr>
              <w:t xml:space="preserve">na hora</w:t>
            </w:r>
            <w:r>
              <w:rPr>
                <w:sz w:val="18"/>
                <w:szCs w:val="20"/>
              </w:rPr>
              <w:t xml:space="preserve">, sem alguém atualizar a análise na tela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Estoque busca o resultado quando alguém abre a análise</w:t>
            </w:r>
          </w:p>
        </w:tc>
      </w:tr>
      <w:tr>
        <w:trPr>
          <w:cantSplit/>
        </w:trPr>
        <w:tc>
          <w:tcPr>
            <w:tcW w:w="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retém o lote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IX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desvio aberto passa a </w:t>
            </w:r>
            <w:r>
              <w:rPr>
                <w:sz w:val="18"/>
                <w:b/>
                <w:bCs/>
                <w:szCs w:val="20"/>
              </w:rPr>
              <w:t xml:space="preserve">Retido</w:t>
            </w:r>
            <w:r>
              <w:rPr>
                <w:sz w:val="18"/>
                <w:szCs w:val="20"/>
              </w:rPr>
              <w:t xml:space="preserve"> e sai de separação, movimentação e remessa até a decisão da GQ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ligação com a GQ</w:t>
            </w:r>
          </w:p>
        </w:tc>
      </w:tr>
      <w:tr>
        <w:trPr>
          <w:cantSplit/>
        </w:trPr>
        <w:tc>
          <w:tcPr>
            <w:tcW w:w="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para venda pela Pessoa Delegada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acabado só vai a "liberado para venda" por decisão registrada da Pessoa Delegada; só então o Comercial e a remessa o oferecem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GQ, Comercial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existe: a aprovação do laudo faz as vezes, sem conferir a função</w:t>
            </w:r>
          </w:p>
        </w:tc>
      </w:tr>
      <w:tr>
        <w:trPr>
          <w:cantSplit/>
        </w:trPr>
        <w:tc>
          <w:tcPr>
            <w:tcW w:w="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fornecedor qualificado no recebimento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VI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recebimento consulta o cadastro único de fornecedor qualificado e recusa, ou exige decisão da GQ, quando o fornecedor não é qualificado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do Estoque não qualifica nem bloqueia (DV-EST-022); três versões, nenhuma consultada</w:t>
            </w:r>
          </w:p>
        </w:tc>
      </w:tr>
      <w:tr>
        <w:trPr>
          <w:cantSplit/>
        </w:trPr>
        <w:tc>
          <w:tcPr>
            <w:tcW w:w="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fora de especificação abre investigação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245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fora de especificação no CQ </w:t>
            </w:r>
            <w:r>
              <w:rPr>
                <w:sz w:val="18"/>
                <w:b/>
                <w:bCs/>
                <w:szCs w:val="20"/>
              </w:rPr>
              <w:t xml:space="preserve">retém</w:t>
            </w:r>
            <w:r>
              <w:rPr>
                <w:sz w:val="18"/>
                <w:szCs w:val="20"/>
              </w:rPr>
              <w:t xml:space="preserve"> o lote no Estoque até a investigação terminar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CQ, GQ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exige uma observação no CQ</w:t>
            </w:r>
          </w:p>
        </w:tc>
      </w:tr>
      <w:tr>
        <w:trPr>
          <w:cantSplit/>
        </w:trPr>
        <w:tc>
          <w:tcPr>
            <w:tcW w:w="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Reclamação e recolhimento retêm e recolhem lotes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319 e 343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Entrega à GQ, na hora, onde está cada lote e para onde saiu (remessa, venda, devolução); marca o lote como </w:t>
            </w:r>
            <w:r>
              <w:rPr>
                <w:sz w:val="18"/>
                <w:b/>
                <w:bCs/>
                <w:szCs w:val="20"/>
              </w:rPr>
              <w:t xml:space="preserve">Recolhido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GQ, Comercial, Rastreabilidade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existe; a remessa guarda destinatário e lote, e o Estoque tem eventos ANVISA próprios, repetidos</w:t>
            </w:r>
          </w:p>
        </w:tc>
      </w:tr>
      <w:tr>
        <w:trPr>
          <w:cantSplit/>
        </w:trPr>
        <w:tc>
          <w:tcPr>
            <w:tcW w:w="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Integrações confiáveis: a falha avisa e não deixa a operação pela metade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1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e CQ, Produção e Comercial confirmados pelos dois lados; a falha avisa e não deixa a operação pela metade; a Produção usa só a API do Estoque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CQ, Produção, Comercial, Rastreabilidade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que não abre sem aviso; a Produção grava direto no banco do Estoque; a resposta da Rastreabilidade não é lida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3. REGRAS QUE VALEM PARA TODAS AS TRAVAS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Valem também aqui as regras gerais do documento completo (requisitos 12 a 16): histórico de toda alteração com motivo, registro no momento da ação com hora do servidor, assinatura eletrônica nas decisões, acesso por função conferido em toda gravação e integrações que avisam quando falham.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Particulares do Estoque: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situação do lote é conferida na gravação</w:t>
      </w:r>
      <w:r>
        <w:rPr>
          <w:szCs w:val="20"/>
        </w:rPr>
        <w:t xml:space="preserve">, e não só na lista: um lote que mudou de situação entre a escolha e a confirmação é recusado.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Uma só gravação por operação:</w:t>
      </w:r>
      <w:r>
        <w:rPr>
          <w:szCs w:val="20"/>
        </w:rPr>
        <w:t xml:space="preserve"> conferência, endereço e solicitação de análise são gravados juntos. Se falhar, nada fica pela metade e a tela diz que falhou.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Uma saída nunca sai do registro:</w:t>
      </w:r>
      <w:r>
        <w:rPr>
          <w:szCs w:val="20"/>
        </w:rPr>
        <w:t xml:space="preserve"> remessa, venda e devolução ficam registradas, e o cancelamento acrescenta um registro, sem apagar o original.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Estoque não decide</w:t>
      </w:r>
      <w:r>
        <w:rPr>
          <w:szCs w:val="20"/>
        </w:rPr>
        <w:t xml:space="preserve"> a situação do lote: aplica a decisão do CQ, da Pessoa Delegada ou da GQ.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NORMAS:INICIO --&gt;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A ANVISA PEDE: TEXTOS CITADOS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Texto literal das normas citadas em cada tema, extraído dos arquivos da pasta </w:t>
      </w:r>
      <w:r>
        <w:rPr>
          <w:szCs w:val="20"/>
        </w:rPr>
        <w:t xml:space="preserve">Documentação/</w:t>
      </w:r>
      <w:r>
        <w:rPr>
          <w:szCs w:val="20"/>
        </w:rPr>
        <w:t xml:space="preserve"> (RDC nº 658/2022 em português e Guia nº 33/2020) por </w:t>
      </w:r>
      <w:r>
        <w:rPr>
          <w:szCs w:val="20"/>
        </w:rPr>
        <w:t xml:space="preserve">homologacao/ferramentas/citar_normas_diagnostico.py</w:t>
      </w:r>
      <w:r>
        <w:rPr>
          <w:szCs w:val="20"/>
        </w:rPr>
        <w:t xml:space="preserve">. "(...)" marca trechos omitidos. No portal, clique na referência de cada tema para ver o texto.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 · Situação única do lote, respeitada por todos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157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157. Os materiais recebidos e os produtos acabados devem ser fisicamente ou administrativamente colocados em quarentena imediatamente após o recebimento ou processamento, até que sejam liberados para uso ou distribuição.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189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189. Somente matérias-primas que tiverem sido liberadas pelo departamento de Controle de Qualidade e que estiverem dentro de sua data de reteste devem ser utilizadas.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2 · O laudo do CQ muda a situação na hora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189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189. Somente matérias-primas que tiverem sido liberadas pelo departamento de Controle de Qualidade e que estiverem dentro de sua data de reteste devem ser utilizadas.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3 · Desvio retém o lote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IX - os resultados do monitoramento de produtos e processos sejam levados em consideração na liberação do lote, na investigação de desvios e com o objetivo de tomar ações preventivas para evitar desvios potenciais que possam ocorrer no futuro;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4 · Liberação para venda pela Pessoa Delegada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XV - os medicamentos não sejam comercializados ou distribuídos antes da Pessoa Delegada pelo Sistema de Gestão da Qualidade Farmacêutica ter certificado que cada lote do produto foi produzido e controlado de acordo com os requerimentos de registro e quaisquer outras normas relevantes à produção, ao controle e à liberação de medicamentos;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5 · Só fornecedor qualificado no recebimento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VI - sejam tomadas providências para a fabricação, fornecimento e uso das matérias-primas e materiais de embalagem corretos, a seleção e monitoramento dos fornecedores e verificação da conformidade de cada recebimento com o fornecedor aprovado;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10 · Resultado fora de especificação abre investigação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245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245. Alguns tipos de dados, tais como resultados de testes, rendimentos, controles ambientais, devem ser registrados de maneira a permitir a avaliação de tendência. &gt; &gt; Parágrafo único. Quaisquer dados fora da tendência ou da especificação devem ser abordados e sujeitos a investigação.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11 · Reclamação e recolhimento retêm e recolhem lotes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319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319. Deve haver um sistema e procedimentos apropriados para registrar, avaliar, investigar e revisar reclamações, incluindo possíveis desvios de qualidade; e, se necessário, para recolhimento dos medicamentos destinados a uso humano, incluindo os experimentais, de forma efetiva e imediata, da rede de distribuição.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343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343. Devem existir procedimentos escritos, que sejam regularmente revistos e atualizados, para a determinação das atividades de recolhimento e de outras ações de mitigação de riscos.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16 · Integrações confiáveis: a falha avisa e não deixa a operação pela metade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9.3.2.3 (Requisitos Operacionais)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Dados – requisitos relacionados ao manuseio de dados, considerando-se o seu impacto na segurança do paciente, na qualidade do produto e na integridade dos dados, abrangendo os seguintes pontos: &gt; - Definição dos registros eletrônicos; &gt; - Definição dos tipos de dados, incluindo a identificação das características, formatação, parâmetros críticos, intervalo e formato de datas válidos, limites e exatidão e assim por diante; &gt; - Onde e como os dados serão gravados (ex.: bancos de dados relacionais, arquivos criptografados etc.) &gt; - Campos necessários; &gt; - Migração de dados (importação e exportação); &gt; - Entrada de dados e subsequente edição; &gt; - Backup e recuperação; &gt; - Requisitos para arquivamento; &gt; - Segurança dos dados e integridade. &gt; &gt; Interfaces – devem ser definidas (se aplicável), abrangendo os seguintes pontos: &gt; - Interface(s) com o usuário – definidas em termos de níveis de acesso (operador, administrador, gerente do sistema) ou funções quando apropriado; &gt; - Interface(s) com outros sistemas; &gt; - Interface(s) com equipamentos, tais como sensores ou atuadores. Isto pode incluir listas de I/O (entrada e saída) para sistemas utilizados para controle de processos; &gt; - Forma de entrada e saída de dados pelos usuários (ex.: teclado, leitor de código de barras, impressoras etc.).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NORMAS:FIM --&gt;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Estoque – Estoque entre os módulos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Estoque – Estoque entre os módulos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