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Devolução: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67200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</w:t>
      </w:r>
      <w:r>
        <w:rPr>
          <w:szCs w:val="20"/>
        </w:rPr>
        <w:t xml:space="preserve">19-devolucao.fluxo.json</w:t>
      </w:r>
      <w:r>
        <w:rPr>
          <w:szCs w:val="20"/>
        </w:rPr>
        <w:t xml:space="preserve">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Material para devolver: o lote já existe no estoque e há endereço livre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Preencher o registro: tipo, motivo, documento e justificativa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Incluir o item: item, lote, validade, fabricante, quantidade, custo e volumes; o sistema confere se o lote existe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Endereçar: escolher o item, o endereço e a quantidade de cada endereço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Salvar e confirmar: "Confirma a inclusão do item?"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Lote e quantidades aceitos? (decisão): Sim: grava a movimentação, os volumes, a análise do CQ (item com CQ) e a etiqueta. Não: mensagem e nada é gravado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Conferir o saldo: Disponibilidade do Lote e, se houver CQ, a análise no CQ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a devolução gravada só pode ser consultada.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devolução não tem situação própria na tela: ela é gravada de uma vez e não há "rascunho" nem "cancelado" (</w:t>
      </w:r>
      <w:r>
        <w:rPr>
          <w:szCs w:val="20"/>
        </w:rPr>
        <w:t xml:space="preserve">devolucao_ed.aspx.cs:133-235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devolvido, quando o item tem controle de qualidade, entra com análise "AGUARDANDO ANÁLISE" no CQ e fica em quarentena até o laudo (</w:t>
      </w:r>
      <w:r>
        <w:rPr>
          <w:szCs w:val="20"/>
        </w:rPr>
        <w:t xml:space="preserve">devolucao_ed.aspx.cs:193</w:t>
      </w:r>
      <w:r>
        <w:rPr>
          <w:szCs w:val="20"/>
        </w:rPr>
        <w:t xml:space="preserve">; comportamento visto nas telas 20 e 21, CT-EST-210, 12/10/2026).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item sem controle de qualidade, o saldo entra direto como disponível (CT-EST-093, 22/10/2026).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da movimentação, com o usuário que criou e a </w:t>
      </w:r>
      <w:r>
        <w:rPr>
          <w:b/>
          <w:bCs/>
          <w:szCs w:val="20"/>
        </w:rPr>
        <w:t xml:space="preserve">justificativa digitada</w:t>
      </w:r>
      <w:r>
        <w:rPr>
          <w:szCs w:val="20"/>
        </w:rPr>
        <w:t xml:space="preserve">: </w:t>
      </w:r>
      <w:r>
        <w:rPr>
          <w:szCs w:val="20"/>
        </w:rPr>
        <w:t xml:space="preserve">GerarLogInclusao</w:t>
      </w:r>
      <w:r>
        <w:rPr>
          <w:szCs w:val="20"/>
        </w:rPr>
        <w:t xml:space="preserve"> em </w:t>
      </w:r>
      <w:r>
        <w:rPr>
          <w:szCs w:val="20"/>
        </w:rPr>
        <w:t xml:space="preserve">TBL_MOVIMENTACAO</w:t>
      </w:r>
      <w:r>
        <w:rPr>
          <w:szCs w:val="20"/>
        </w:rPr>
        <w:t xml:space="preserve"> (</w:t>
      </w:r>
      <w:r>
        <w:rPr>
          <w:szCs w:val="20"/>
        </w:rPr>
        <w:t xml:space="preserve">bllMovimentacao.cs:32</w:t>
      </w:r>
      <w:r>
        <w:rPr>
          <w:szCs w:val="20"/>
        </w:rPr>
        <w:t xml:space="preserve">; </w:t>
      </w:r>
      <w:r>
        <w:rPr>
          <w:szCs w:val="20"/>
        </w:rPr>
        <w:t xml:space="preserve">dalLogAlteracao2.cs:60-75</w:t>
      </w:r>
      <w:r>
        <w:rPr>
          <w:szCs w:val="20"/>
        </w:rPr>
        <w:t xml:space="preserve">; </w:t>
      </w:r>
      <w:r>
        <w:rPr>
          <w:szCs w:val="20"/>
        </w:rPr>
        <w:t xml:space="preserve">devolucao_ed.aspx.cs:183</w:t>
      </w:r>
      <w:r>
        <w:rPr>
          <w:szCs w:val="20"/>
        </w:rPr>
        <w:t xml:space="preserve">). O ícone Log da lista abre esse histórico (</w:t>
      </w:r>
      <w:r>
        <w:rPr>
          <w:szCs w:val="20"/>
        </w:rPr>
        <w:t xml:space="preserve">devolucao_lst.aspx.cs:255-261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O histórico não foi aberto em nenhum teste</w:t>
      </w:r>
      <w:r>
        <w:rPr>
          <w:szCs w:val="20"/>
        </w:rPr>
        <w:t xml:space="preserve"> (caso novo CT-EST-E19-13).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movimentação guarda o usuário e a data de criação (</w:t>
      </w:r>
      <w:r>
        <w:rPr>
          <w:szCs w:val="20"/>
        </w:rPr>
        <w:t xml:space="preserve">dalMovimentacao.cs:19-22</w:t>
      </w:r>
      <w:r>
        <w:rPr>
          <w:szCs w:val="20"/>
        </w:rPr>
        <w:t xml:space="preserve">; </w:t>
      </w:r>
      <w:r>
        <w:rPr>
          <w:szCs w:val="20"/>
        </w:rPr>
        <w:t xml:space="preserve">Tables/TBL_MOVIMENTACAO.sql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do Lote mostra a movimentação com endereço, quantidade e data, </w:t>
      </w:r>
      <w:r>
        <w:rPr>
          <w:b/>
          <w:bCs/>
          <w:szCs w:val="20"/>
        </w:rPr>
        <w:t xml:space="preserve">sem usuário e sem hora</w:t>
      </w:r>
      <w:r>
        <w:rPr>
          <w:szCs w:val="20"/>
        </w:rPr>
        <w:t xml:space="preserve"> (DV-EST-034; CT-EST-093, passo 5 do histórico, 22/10/2026).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não tem coluna de usuário de criação: a autoria fica só na movimentação (</w:t>
      </w:r>
      <w:r>
        <w:rPr>
          <w:szCs w:val="20"/>
        </w:rPr>
        <w:t xml:space="preserve">Tables/TBL_ITEM_LOTE.sql:2-20</w:t>
      </w:r>
      <w:r>
        <w:rPr>
          <w:szCs w:val="20"/>
        </w:rPr>
        <w:t xml:space="preserve">; </w:t>
      </w:r>
      <w:r>
        <w:rPr>
          <w:szCs w:val="20"/>
        </w:rPr>
        <w:t xml:space="preserve">dalItemLote.cs:27-28</w:t>
      </w:r>
      <w:r>
        <w:rPr>
          <w:szCs w:val="20"/>
        </w:rPr>
        <w:t xml:space="preserve">; RN-EST-006).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não vai para a tabela da movimentação (que não tem coluna para ela), só para o histórico. A origem da devolução (saída ou solicitação) não é gravada em lugar nenhum (RN-EST-E19-002).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exclusão, que a lista não permite, gravaria como inclusão (</w:t>
      </w:r>
      <w:r>
        <w:rPr>
          <w:szCs w:val="20"/>
        </w:rPr>
        <w:t xml:space="preserve">bllMovimentacao.cs:90</w:t>
      </w:r>
      <w:r>
        <w:rPr>
          <w:szCs w:val="20"/>
        </w:rPr>
        <w:t xml:space="preserve">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52"/>
        <w:gridCol w:w="2655"/>
        <w:gridCol w:w="1544"/>
        <w:gridCol w:w="3080"/>
      </w:tblGrid>
      <w:tr>
        <w:trPr>
          <w:tblHeader/>
          <w:cantSplit/>
        </w:trPr>
        <w:tc>
          <w:tcPr>
            <w:tcW w:w="23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6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5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0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</w:t>
            </w:r>
          </w:p>
        </w:tc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data, tipo, observação (TXT_OBS), número da OP, motivo, documento de devolução (TXT_DEV), referência, usuário e data de criação. </w:t>
            </w:r>
            <w:r>
              <w:rPr>
                <w:sz w:val="18"/>
                <w:b/>
                <w:bCs/>
                <w:szCs w:val="20"/>
              </w:rPr>
              <w:t xml:space="preserve">Não há coluna de justificativa</w:t>
            </w:r>
          </w:p>
        </w:tc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movimentação; empresa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Hsolutions.Estoque.DB/Tables/TBL_MOVIMENTACAO.sql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dalMovimentacao.cs:181-213</w:t>
            </w:r>
          </w:p>
        </w:tc>
      </w:tr>
      <w:tr>
        <w:trPr>
          <w:cantSplit/>
        </w:trPr>
        <w:tc>
          <w:tcPr>
            <w:tcW w:w="2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TBL_MOVIMENTACAO_ITEM</w:t>
            </w:r>
          </w:p>
        </w:tc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lote, endereço, quantidade movimentada, custo, saída (0 na devolução), volumes</w:t>
            </w:r>
          </w:p>
        </w:tc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Movimentação, item, lote e endereço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Tables/TBL_MOVIMENTACAO_ITEM.sql</w:t>
            </w:r>
          </w:p>
        </w:tc>
      </w:tr>
      <w:tr>
        <w:trPr>
          <w:cantSplit/>
        </w:trPr>
        <w:tc>
          <w:tcPr>
            <w:tcW w:w="2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</w:t>
            </w:r>
          </w:p>
        </w:tc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lote, validade, fabricante (pode ser nulo), item de entrada, volumes, bloqueado, reanálise</w:t>
            </w:r>
          </w:p>
        </w:tc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fabricante; não há chave única por item, lote, validade e fabricante no projeto do banco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Tables/TBL_ITEM_LOTE.sql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dalItemLote.cs:20-60</w:t>
            </w:r>
          </w:p>
        </w:tc>
      </w:tr>
      <w:tr>
        <w:trPr>
          <w:cantSplit/>
        </w:trPr>
        <w:tc>
          <w:tcPr>
            <w:tcW w:w="2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TBL_TIPO_MOVIMENTACAO</w:t>
            </w:r>
          </w:p>
        </w:tc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7 "ENTRADA - DEVOLUÇÃO", entrada, atualiza custo (0) e obriga análise (1)</w:t>
            </w:r>
          </w:p>
        </w:tc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Hsolutions.Estoque.DB/dml.sql:497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Constantes.cs:63</w:t>
            </w:r>
          </w:p>
        </w:tc>
      </w:tr>
      <w:tr>
        <w:trPr>
          <w:cantSplit/>
        </w:trPr>
        <w:tc>
          <w:tcPr>
            <w:tcW w:w="2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Volumes e saldos</w:t>
            </w:r>
          </w:p>
        </w:tc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Volumes do lote (procedimento </w:t>
            </w:r>
            <w:r>
              <w:rPr>
                <w:sz w:val="18"/>
                <w:szCs w:val="20"/>
              </w:rPr>
              <w:t xml:space="preserve">pGeraVolumeMovimentacao</w:t>
            </w:r>
            <w:r>
              <w:rPr>
                <w:sz w:val="18"/>
                <w:szCs w:val="20"/>
              </w:rPr>
              <w:t xml:space="preserve">) e saldos de lote e endereço (gatilhos do banco)</w:t>
            </w:r>
          </w:p>
        </w:tc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e endereço</w:t>
            </w:r>
          </w:p>
        </w:tc>
        <w:tc>
          <w:tcPr>
            <w:tcW w:w="3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Hsolutions.Estoque.DB/Stored Procedures/pGeraVolumeMovimentacao.sql</w:t>
            </w:r>
            <w:r>
              <w:rPr>
                <w:sz w:val="18"/>
                <w:szCs w:val="20"/>
              </w:rPr>
              <w:t xml:space="preserve">; RN-EST-006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10"/>
        <w:gridCol w:w="2666"/>
        <w:gridCol w:w="1636"/>
        <w:gridCol w:w="3919"/>
      </w:tblGrid>
      <w:tr>
        <w:trPr>
          <w:tblHeader/>
          <w:cantSplit/>
        </w:trPr>
        <w:tc>
          <w:tcPr>
            <w:tcW w:w="14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6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solicitação de análise do lote (se o módulo do CQ está habilitado)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Chamada de serviço do CQ (API)</w:t>
            </w:r>
          </w:p>
        </w:tc>
        <w:tc>
          <w:tcPr>
            <w:tcW w:w="3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bllAnaliseControle.cs:23-100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528-600</w:t>
            </w:r>
          </w:p>
        </w:tc>
      </w:tr>
      <w:tr>
        <w:trPr>
          <w:cantSplit/>
        </w:trPr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Pessoas jurídicas do tipo fabricante, usuário, grupo e almoxarifados do grupo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do Estoque e sinônimos do banco</w:t>
            </w:r>
          </w:p>
        </w:tc>
        <w:tc>
          <w:tcPr>
            <w:tcW w:w="3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devolucao_ed.aspx.cs:324-333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dalMovimentacao.cs:199-213</w:t>
            </w:r>
          </w:p>
        </w:tc>
      </w:tr>
      <w:tr>
        <w:trPr>
          <w:cantSplit/>
        </w:trPr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nem gravado nesta tela</w:t>
            </w:r>
          </w:p>
        </w:tc>
        <w:tc>
          <w:tcPr>
            <w:tcW w:w="1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formulário)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Devolução: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Devolução: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