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Material - Outras: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734307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3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</w:t>
      </w:r>
      <w:r>
        <w:rPr>
          <w:szCs w:val="20"/>
        </w:rPr>
        <w:t xml:space="preserve">20-entrada-de-material-outras.fluxo.json</w:t>
      </w:r>
      <w:r>
        <w:rPr>
          <w:szCs w:val="20"/>
        </w:rPr>
        <w:t xml:space="preserve">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Material sem compra: item cadastrado e endereços livres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Preencher o registro: tipo, motivo, referência e Nº OP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Salvar o item: item, lote, validade, fabricante, quantidade, custo e volumes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Endereçar cada lote: lote, endereço e quantidade, até zerar o pendente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Finalizar e confirmar: justificativa e "Confirma a inclusão do item?"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Tudo endereçado e dados aceitos? (decisão): Sim: grava a movimentação, os volumes, a análise do CQ (item com CQ) e as etiquetas. Não: mensagem e nada é gravado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Conferir o saldo: Disponibilidade do Lote e análise no CQ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a entrada gravada só pode ser consultada.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entrada não tem situação própria na tela: é gravada de uma vez; não há rascunho nem cancelamento (</w:t>
      </w:r>
      <w:r>
        <w:rPr>
          <w:szCs w:val="20"/>
        </w:rPr>
        <w:t xml:space="preserve">entrada_material_ed.aspx.cs:199-350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de item com controle de qualidade entra em quarentena com análise "AGUARDANDO ANÁLISE" no CQ até o laudo (CT-EST-210, 12/10/2026).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de item sem controle de qualidade entra como disponível; se a validade já passou, o saldo aparece como "Vencido / Reanálise" (CT-EST-062,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da movimentação, com o usuário que criou e a </w:t>
      </w:r>
      <w:r>
        <w:rPr>
          <w:b/>
          <w:bCs/>
          <w:szCs w:val="20"/>
        </w:rPr>
        <w:t xml:space="preserve">justificativa digitada</w:t>
      </w:r>
      <w:r>
        <w:rPr>
          <w:szCs w:val="20"/>
        </w:rPr>
        <w:t xml:space="preserve">: </w:t>
      </w:r>
      <w:r>
        <w:rPr>
          <w:szCs w:val="20"/>
        </w:rPr>
        <w:t xml:space="preserve">GerarLogInclusao</w:t>
      </w:r>
      <w:r>
        <w:rPr>
          <w:szCs w:val="20"/>
        </w:rPr>
        <w:t xml:space="preserve"> em </w:t>
      </w:r>
      <w:r>
        <w:rPr>
          <w:szCs w:val="20"/>
        </w:rPr>
        <w:t xml:space="preserve">TBL_MOVIMENTACAO</w:t>
      </w:r>
      <w:r>
        <w:rPr>
          <w:szCs w:val="20"/>
        </w:rPr>
        <w:t xml:space="preserve"> (</w:t>
      </w:r>
      <w:r>
        <w:rPr>
          <w:szCs w:val="20"/>
        </w:rPr>
        <w:t xml:space="preserve">bllMovimentacao.cs:32</w:t>
      </w:r>
      <w:r>
        <w:rPr>
          <w:szCs w:val="20"/>
        </w:rPr>
        <w:t xml:space="preserve">; </w:t>
      </w:r>
      <w:r>
        <w:rPr>
          <w:szCs w:val="20"/>
        </w:rPr>
        <w:t xml:space="preserve">entrada_material_ed.aspx.cs:313</w:t>
      </w:r>
      <w:r>
        <w:rPr>
          <w:szCs w:val="20"/>
        </w:rPr>
        <w:t xml:space="preserve">). O ícone Log da lista abre esse histórico. </w:t>
      </w:r>
      <w:r>
        <w:rPr>
          <w:b/>
          <w:bCs/>
          <w:szCs w:val="20"/>
        </w:rPr>
        <w:t xml:space="preserve">O histórico não foi aberto em nenhum teste</w:t>
      </w:r>
      <w:r>
        <w:rPr>
          <w:szCs w:val="20"/>
        </w:rPr>
        <w:t xml:space="preserve"> (caso novo CT-EST-E20-13).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movimentação guarda o usuário e a data de criação (</w:t>
      </w:r>
      <w:r>
        <w:rPr>
          <w:szCs w:val="20"/>
        </w:rPr>
        <w:t xml:space="preserve">dalMovimentacao.cs:19-22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do Lote mostra a entrada como movimentação, sem usuário e sem hora (DV-EST-034).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não tem coluna de usuário de criação (</w:t>
      </w:r>
      <w:r>
        <w:rPr>
          <w:szCs w:val="20"/>
        </w:rPr>
        <w:t xml:space="preserve">Tables/TBL_ITEM_LOTE.sql:2-20</w:t>
      </w:r>
      <w:r>
        <w:rPr>
          <w:szCs w:val="20"/>
        </w:rPr>
        <w:t xml:space="preserve">); a tela também envia o lote sem usuário (</w:t>
      </w:r>
      <w:r>
        <w:rPr>
          <w:szCs w:val="20"/>
        </w:rPr>
        <w:t xml:space="preserve">entrada_material_ed.aspx.cs:288</w:t>
      </w:r>
      <w:r>
        <w:rPr>
          <w:szCs w:val="20"/>
        </w:rPr>
        <w:t xml:space="preserve">). A autoria fica só na movimentação.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não vai para a tabela da movimentação, só para 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origem do material não é gravada em lugar nenhum (RN-EST-E20-002).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28"/>
        <w:gridCol w:w="2727"/>
        <w:gridCol w:w="1528"/>
        <w:gridCol w:w="3048"/>
      </w:tblGrid>
      <w:tr>
        <w:trPr>
          <w:tblHeader/>
          <w:cantSplit/>
        </w:trPr>
        <w:tc>
          <w:tcPr>
            <w:tcW w:w="23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7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5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0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</w:t>
            </w:r>
          </w:p>
        </w:tc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data, tipo, observação (TXT_OBS), número da OP, motivo, referência, usuário e data de criação. Não há coluna de justificativa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movimentação; empresa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Hsolutions.Estoque.DB/Tables/TBL_MOVIMENTACAO.sql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dalMovimentacao.cs:15-45</w:t>
            </w:r>
          </w:p>
        </w:tc>
      </w:tr>
      <w:tr>
        <w:trPr>
          <w:cantSplit/>
        </w:trPr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</w:t>
            </w:r>
          </w:p>
        </w:tc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lote, endereço, quantidade movimentada, custo, saída (0 na entrada), volumes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Movimentação, item, lote e endereço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Tables/TBL_MOVIMENTACAO_ITEM.sql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entrada_material_ed.aspx.cs:290-310</w:t>
            </w:r>
          </w:p>
        </w:tc>
      </w:tr>
      <w:tr>
        <w:trPr>
          <w:cantSplit/>
        </w:trPr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</w:t>
            </w:r>
          </w:p>
        </w:tc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lote, validade, fabricante (pode ser nulo), item de entrada, volumes, bloqueado, reanálise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fabricante; sem chave única por item, lote, validade e fabricante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Tables/TBL_ITEM_LOTE.sql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dalItemLote.cs:20-60</w:t>
            </w:r>
          </w:p>
        </w:tc>
      </w:tr>
      <w:tr>
        <w:trPr>
          <w:cantSplit/>
        </w:trPr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TBL_TIPO_MOVIMENTACAO</w:t>
            </w:r>
          </w:p>
        </w:tc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8 "ENTRADA - OUTRAS" (entrada, atualiza custo 0, obriga análise 1) e os tipos criados pelo usuário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Hsolutions.Estoque.DB/dml.sql:505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Constantes.cs:64</w:t>
            </w:r>
          </w:p>
        </w:tc>
      </w:tr>
      <w:tr>
        <w:trPr>
          <w:cantSplit/>
        </w:trPr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Volumes e saldos</w:t>
            </w:r>
          </w:p>
        </w:tc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Volumes do lote (</w:t>
            </w:r>
            <w:r>
              <w:rPr>
                <w:sz w:val="18"/>
                <w:szCs w:val="20"/>
              </w:rPr>
              <w:t xml:space="preserve">pGeraVolumeMovimentacao</w:t>
            </w:r>
            <w:r>
              <w:rPr>
                <w:sz w:val="18"/>
                <w:szCs w:val="20"/>
              </w:rPr>
              <w:t xml:space="preserve">) e saldos de lote e de endereço (gatilhos do banco)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 endereço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Hsolutions.Estoque.DB/Stored Procedures/pGeraVolumeMovimentacao.sql</w:t>
            </w:r>
            <w:r>
              <w:rPr>
                <w:sz w:val="18"/>
                <w:szCs w:val="20"/>
              </w:rPr>
              <w:t xml:space="preserve">; RN-EST-006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1"/>
        <w:gridCol w:w="2650"/>
        <w:gridCol w:w="1534"/>
        <w:gridCol w:w="3786"/>
      </w:tblGrid>
      <w:tr>
        <w:trPr>
          <w:tblHeader/>
          <w:cantSplit/>
        </w:trPr>
        <w:tc>
          <w:tcPr>
            <w:tcW w:w="16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6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5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7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solicitação de análise do lote (se o módulo do CQ está habilitado)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Chamada de serviço do CQ (API)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bllAnaliseControle.cs:23-100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528-600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tipo fabricante, usuário, grupo e almoxarifados do grupo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do Estoque e sinônimos do banco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entrada_material_ed.aspx.cs:398-408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dalMovimentacao.cs:199-213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Compras, Recebimento e Produção</w:t>
            </w:r>
          </w:p>
        </w:tc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nem gravado: a entrada não se liga a pedido, nota fiscal nem ordem de produção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formulário)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Material - Outras: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Material - Outras: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