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Entrada de Produção: Anvisa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ANVISA: O QUE A NORMA EXIGE DESTA TELA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norma espera que o lote de produto acabado entre no estoque com a identificação e a quantidade que a Produção registrou, fique em quarentena até a liberação final e deixe um registro rastreável de quem confirmou. A tela Entrada de Produção foi desenhada para isso, mas </w:t>
      </w:r>
      <w:r>
        <w:rPr>
          <w:b/>
          <w:bCs/>
          <w:szCs w:val="20"/>
        </w:rPr>
        <w:t xml:space="preserve">não pôde ser verificada em tela</w:t>
      </w:r>
      <w:r>
        <w:rPr>
          <w:szCs w:val="20"/>
        </w:rPr>
        <w:t xml:space="preserve">: as situações abaixo são "a verificar", com ressalvas apontadas pelo código.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norma exige e o que a tela faz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Citações da RDC 658/2022 e do Guia nº 33/2020 entre aspas são literais. O que não está entre aspas é leitura da área, a validar com Assuntos Regulatórios e com a Garantia da Qualidade. Todas as colunas "O que a tela faz hoje" são leitura do código; nenhuma foi vista numa tela real.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817"/>
        <w:gridCol w:w="1285"/>
        <w:gridCol w:w="4292"/>
        <w:gridCol w:w="1237"/>
      </w:tblGrid>
      <w:tr>
        <w:trPr>
          <w:tblHeader/>
          <w:cantSplit/>
        </w:trPr>
        <w:tc>
          <w:tcPr>
            <w:tcW w:w="281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Exigência</w:t>
            </w:r>
          </w:p>
        </w:tc>
        <w:tc>
          <w:tcPr>
            <w:tcW w:w="128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Artigo</w:t>
            </w:r>
          </w:p>
        </w:tc>
        <w:tc>
          <w:tcPr>
            <w:tcW w:w="429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faz hoje</w:t>
            </w:r>
          </w:p>
        </w:tc>
        <w:tc>
          <w:tcPr>
            <w:tcW w:w="123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28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registros devem ser realizados ou completados sempre que uma ação for realizada e de modo a permitir que todas as atividades significativas relativas à fabricação de medicamentos sejam rastreáveis."</w:t>
            </w:r>
          </w:p>
        </w:tc>
        <w:tc>
          <w:tcPr>
            <w:tcW w:w="12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658/2022, art. 124</w:t>
            </w:r>
          </w:p>
        </w:tc>
        <w:tc>
          <w:tcPr>
            <w:tcW w:w="42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entrada traz a ordem de produção, o lote e a quantidade da Produção, que a tabela de entrada exige (</w:t>
            </w:r>
            <w:r>
              <w:rPr>
                <w:sz w:val="18"/>
                <w:szCs w:val="20"/>
              </w:rPr>
              <w:t xml:space="preserve">Tables/TBL_ENTRADA_PRODUCAO.sql:4</w:t>
            </w:r>
            <w:r>
              <w:rPr>
                <w:sz w:val="18"/>
                <w:szCs w:val="20"/>
              </w:rPr>
              <w:t xml:space="preserve">); registra quem confirmou e quando (</w:t>
            </w:r>
            <w:r>
              <w:rPr>
                <w:sz w:val="18"/>
                <w:szCs w:val="20"/>
              </w:rPr>
              <w:t xml:space="preserve">dalMovimentacaoItem.cs:542-565</w:t>
            </w:r>
            <w:r>
              <w:rPr>
                <w:sz w:val="18"/>
                <w:szCs w:val="20"/>
              </w:rPr>
              <w:t xml:space="preserve">) e liga a análise ao número da produção (</w:t>
            </w:r>
            <w:r>
              <w:rPr>
                <w:sz w:val="18"/>
                <w:szCs w:val="20"/>
              </w:rPr>
              <w:t xml:space="preserve">bllEntradaProducao.cs:159</w:t>
            </w:r>
            <w:r>
              <w:rPr>
                <w:sz w:val="18"/>
                <w:szCs w:val="20"/>
              </w:rPr>
              <w:t xml:space="preserve">). Fraquezas: a quantidade vira número inteiro (</w:t>
            </w:r>
            <w:r>
              <w:rPr>
                <w:sz w:val="18"/>
                <w:szCs w:val="20"/>
              </w:rPr>
              <w:t xml:space="preserve">dalMovimentacaoItem.cs:438</w:t>
            </w:r>
            <w:r>
              <w:rPr>
                <w:sz w:val="18"/>
                <w:szCs w:val="20"/>
              </w:rPr>
              <w:t xml:space="preserve">) e o Estoque aceita o envio sem conferir a ordem (</w:t>
            </w:r>
            <w:r>
              <w:rPr>
                <w:sz w:val="18"/>
                <w:szCs w:val="20"/>
              </w:rPr>
              <w:t xml:space="preserve">EstoqueServices.cs:955-985</w:t>
            </w:r>
            <w:r>
              <w:rPr>
                <w:sz w:val="18"/>
                <w:szCs w:val="20"/>
              </w:rPr>
              <w:t xml:space="preserve">)</w:t>
            </w:r>
          </w:p>
        </w:tc>
        <w:tc>
          <w:tcPr>
            <w:tcW w:w="12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28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"Em todos os momentos durante o processo, todos os materiais, recipientes de granel, itens principais de equipamentos e, quando necessário, as salas utilizadas devem ser rotuladas e identificadas com uma indicação do produto ou material que está sendo processado, sua concentração, quando aplicável, e número do lote."</w:t>
            </w:r>
          </w:p>
        </w:tc>
        <w:tc>
          <w:tcPr>
            <w:tcW w:w="12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658/2022, art. 164</w:t>
            </w:r>
          </w:p>
        </w:tc>
        <w:tc>
          <w:tcPr>
            <w:tcW w:w="42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lote que identifica o produto vem da Produção e não é digitado (RN-EST-E22-003). Ao confirmar, abre a etiqueta de quarentena (</w:t>
            </w:r>
            <w:r>
              <w:rPr>
                <w:sz w:val="18"/>
                <w:szCs w:val="20"/>
              </w:rPr>
              <w:t xml:space="preserve">entrada_producao_servicos_ed.aspx.cs:204</w:t>
            </w:r>
            <w:r>
              <w:rPr>
                <w:sz w:val="18"/>
                <w:szCs w:val="20"/>
              </w:rPr>
              <w:t xml:space="preserve">); a etiqueta de volume não é impressa e o conteúdo da etiqueta não foi conferido</w:t>
            </w:r>
          </w:p>
        </w:tc>
        <w:tc>
          <w:tcPr>
            <w:tcW w:w="12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28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materiais recebidos e os produtos acabados devem ser fisicamente ou administrativamente colocados em quarentena imediatamente após o recebimento ou processamento, até que sejam liberados para uso ou distribuição."</w:t>
            </w:r>
          </w:p>
        </w:tc>
        <w:tc>
          <w:tcPr>
            <w:tcW w:w="12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658/2022, art. 157</w:t>
            </w:r>
          </w:p>
        </w:tc>
        <w:tc>
          <w:tcPr>
            <w:tcW w:w="42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Para item com controle de qualidade, só oferece locais de quarentena e abre a análise (</w:t>
            </w:r>
            <w:r>
              <w:rPr>
                <w:sz w:val="18"/>
                <w:szCs w:val="20"/>
              </w:rPr>
              <w:t xml:space="preserve">entrada_producao_servicos_ed.aspx.cs:338-440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197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dalLocalArmazenagem.cs:258-261</w:t>
            </w:r>
            <w:r>
              <w:rPr>
                <w:sz w:val="18"/>
                <w:szCs w:val="20"/>
              </w:rPr>
              <w:t xml:space="preserve">). Para item sem controle, o produto entra como disponível. Não visto em tela</w:t>
            </w:r>
          </w:p>
        </w:tc>
        <w:tc>
          <w:tcPr>
            <w:tcW w:w="12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28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produtos acabados devem ser mantidos em quarentena até a sua liberação final, sob as condições estabelecidas pelo fabricante."</w:t>
            </w:r>
          </w:p>
        </w:tc>
        <w:tc>
          <w:tcPr>
            <w:tcW w:w="12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658/2022, art. 220</w:t>
            </w:r>
          </w:p>
        </w:tc>
        <w:tc>
          <w:tcPr>
            <w:tcW w:w="42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Mesmo comportamento do artigo 157, mais as condições de umidade e refrigeração do item na escolha do local. A mesma regra foi vista na Entrada de Material - Produção (CT-EST-096 e 097, 12/10/2026), mas não aqui</w:t>
            </w:r>
          </w:p>
        </w:tc>
        <w:tc>
          <w:tcPr>
            <w:tcW w:w="12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28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"As verificações do rendimento e a reconciliação das quantidades devem ser realizadas sempre que necessário para garantir que não haja discrepâncias fora dos limites aceitáveis."</w:t>
            </w:r>
          </w:p>
        </w:tc>
        <w:tc>
          <w:tcPr>
            <w:tcW w:w="12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658/2022, art. 160</w:t>
            </w:r>
          </w:p>
        </w:tc>
        <w:tc>
          <w:tcPr>
            <w:tcW w:w="42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confirmação exige que a soma dos endereços feche com a quantidade do lote (</w:t>
            </w:r>
            <w:r>
              <w:rPr>
                <w:sz w:val="18"/>
                <w:szCs w:val="20"/>
              </w:rPr>
              <w:t xml:space="preserve">entrada_producao_servicos_ed.aspx.cs:287-299</w:t>
            </w:r>
            <w:r>
              <w:rPr>
                <w:sz w:val="18"/>
                <w:szCs w:val="20"/>
              </w:rPr>
              <w:t xml:space="preserve">): reconcilia o que a Produção enviou com o que o almoxarifado guardou. Mas a quantidade é convertida para inteiro, e a diferença não é registrada (RN-EST-E22-005)</w:t>
            </w:r>
          </w:p>
        </w:tc>
        <w:tc>
          <w:tcPr>
            <w:tcW w:w="12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28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"Somente matérias-primas que tiverem sido liberadas pelo departamento de Controle de Qualidade e que estiverem dentro de sua data de reteste devem ser utilizadas."</w:t>
            </w:r>
          </w:p>
        </w:tc>
        <w:tc>
          <w:tcPr>
            <w:tcW w:w="12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658/2022, art. 189</w:t>
            </w:r>
          </w:p>
        </w:tc>
        <w:tc>
          <w:tcPr>
            <w:tcW w:w="42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validade vem da Produção e fica travada; o Estoque não confere se é futura e, se vier vazia, grava 31/12/2999 (</w:t>
            </w:r>
            <w:r>
              <w:rPr>
                <w:sz w:val="18"/>
                <w:szCs w:val="20"/>
              </w:rPr>
              <w:t xml:space="preserve">EstoqueServices.cs:971</w:t>
            </w:r>
            <w:r>
              <w:rPr>
                <w:sz w:val="18"/>
                <w:szCs w:val="20"/>
              </w:rPr>
              <w:t xml:space="preserve">). Leitura da área: o lote de produto acabado com validade vencida deveria ser barrado no envio</w:t>
            </w:r>
          </w:p>
        </w:tc>
        <w:tc>
          <w:tcPr>
            <w:tcW w:w="12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28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"Toda a alteração feita no registro de um documento deve ser assinada e datada, devendo permitir a leitura da informação original."</w:t>
            </w:r>
          </w:p>
        </w:tc>
        <w:tc>
          <w:tcPr>
            <w:tcW w:w="12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658/2022, art. 125</w:t>
            </w:r>
          </w:p>
        </w:tc>
        <w:tc>
          <w:tcPr>
            <w:tcW w:w="42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confirmação grava usuário e data (</w:t>
            </w:r>
            <w:r>
              <w:rPr>
                <w:sz w:val="18"/>
                <w:szCs w:val="20"/>
              </w:rPr>
              <w:t xml:space="preserve">dalMovimentacaoItem.cs:542-565</w:t>
            </w:r>
            <w:r>
              <w:rPr>
                <w:sz w:val="18"/>
                <w:szCs w:val="20"/>
              </w:rPr>
              <w:t xml:space="preserve">); item, lote, validade e quantidade são travados na tela. O ícone Log da lista está desligado (</w:t>
            </w:r>
            <w:r>
              <w:rPr>
                <w:sz w:val="18"/>
                <w:szCs w:val="20"/>
              </w:rPr>
              <w:t xml:space="preserve">entrada_producao_servicos_lst.aspx.cs:207-229</w:t>
            </w:r>
            <w:r>
              <w:rPr>
                <w:sz w:val="18"/>
                <w:szCs w:val="20"/>
              </w:rPr>
              <w:t xml:space="preserve">)</w:t>
            </w:r>
          </w:p>
        </w:tc>
        <w:tc>
          <w:tcPr>
            <w:tcW w:w="12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28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"Recursos de entrada manual de dados e validação da entrada;"</w:t>
            </w:r>
          </w:p>
        </w:tc>
        <w:tc>
          <w:tcPr>
            <w:tcW w:w="12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item 9.7.7.1.2</w:t>
            </w:r>
          </w:p>
        </w:tc>
        <w:tc>
          <w:tcPr>
            <w:tcW w:w="42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campos críticos vêm da Produção e são travados, o que reduz a digitação. A validação do que a Produção envia é mínima, e a quantidade é convertida para inteiro</w:t>
            </w:r>
          </w:p>
        </w:tc>
        <w:tc>
          <w:tcPr>
            <w:tcW w:w="12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28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"Trilhas de auditoria e registro de ações críticas, incluídas interações manuais;"</w:t>
            </w:r>
          </w:p>
        </w:tc>
        <w:tc>
          <w:tcPr>
            <w:tcW w:w="12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item 9.7.7.1.2</w:t>
            </w:r>
          </w:p>
        </w:tc>
        <w:tc>
          <w:tcPr>
            <w:tcW w:w="42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 quem confirmou e quando, e o histórico da inclusão da movimentação (</w:t>
            </w:r>
            <w:r>
              <w:rPr>
                <w:sz w:val="18"/>
                <w:szCs w:val="20"/>
              </w:rPr>
              <w:t xml:space="preserve">bllMovimentacao.cs:32</w:t>
            </w:r>
            <w:r>
              <w:rPr>
                <w:sz w:val="18"/>
                <w:szCs w:val="20"/>
              </w:rPr>
              <w:t xml:space="preserve">). O Log da lista está desligado; o motivo de diferenças não é registrado</w:t>
            </w:r>
          </w:p>
        </w:tc>
        <w:tc>
          <w:tcPr>
            <w:tcW w:w="12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8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"Tratamento de erros, recuperação e relatório;"</w:t>
            </w:r>
          </w:p>
        </w:tc>
        <w:tc>
          <w:tcPr>
            <w:tcW w:w="12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item 9.5.2.5</w:t>
            </w:r>
          </w:p>
        </w:tc>
        <w:tc>
          <w:tcPr>
            <w:tcW w:w="42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o envio da Produção falha, a Produção engole o erro e não avisa quem finalizou (</w:t>
            </w:r>
            <w:r>
              <w:rPr>
                <w:sz w:val="18"/>
                <w:szCs w:val="20"/>
              </w:rPr>
              <w:t xml:space="preserve">final_producao_ed.aspx.cs:468-473</w:t>
            </w:r>
            <w:r>
              <w:rPr>
                <w:sz w:val="18"/>
                <w:szCs w:val="20"/>
              </w:rPr>
              <w:t xml:space="preserve">); se a análise falha depois da gravação, o Estoque mostra o erro e deixa a movimentação gravada e a entrada pendente (</w:t>
            </w:r>
            <w:r>
              <w:rPr>
                <w:sz w:val="18"/>
                <w:szCs w:val="20"/>
              </w:rPr>
              <w:t xml:space="preserve">entrada_producao_servicos_ed.aspx.cs:191-199</w:t>
            </w:r>
            <w:r>
              <w:rPr>
                <w:sz w:val="18"/>
                <w:szCs w:val="20"/>
              </w:rPr>
              <w:t xml:space="preserve">). Há recusa de entrada repetida e de lote ou quantidade vazios (</w:t>
            </w:r>
            <w:r>
              <w:rPr>
                <w:sz w:val="18"/>
                <w:szCs w:val="20"/>
              </w:rPr>
              <w:t xml:space="preserve">bllMovimentacao.cs:285-290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EstoqueServices.cs:962-965</w:t>
            </w:r>
            <w:r>
              <w:rPr>
                <w:sz w:val="18"/>
                <w:szCs w:val="20"/>
              </w:rPr>
              <w:t xml:space="preserve">)</w:t>
            </w:r>
          </w:p>
        </w:tc>
        <w:tc>
          <w:tcPr>
            <w:tcW w:w="12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8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"Acesso e segurança."</w:t>
            </w:r>
          </w:p>
        </w:tc>
        <w:tc>
          <w:tcPr>
            <w:tcW w:w="12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item 9.5.2.5</w:t>
            </w:r>
          </w:p>
        </w:tc>
        <w:tc>
          <w:tcPr>
            <w:tcW w:w="42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formulário não confere a função ao abrir (</w:t>
            </w:r>
            <w:r>
              <w:rPr>
                <w:sz w:val="18"/>
                <w:szCs w:val="20"/>
              </w:rPr>
              <w:t xml:space="preserve">ClassePaiEd.cs:77-105</w:t>
            </w:r>
            <w:r>
              <w:rPr>
                <w:sz w:val="18"/>
                <w:szCs w:val="20"/>
              </w:rPr>
              <w:t xml:space="preserve">; DV-EST-008, </w:t>
            </w:r>
            <w:r>
              <w:rPr>
                <w:sz w:val="18"/>
                <w:b/>
                <w:bCs/>
                <w:szCs w:val="20"/>
              </w:rPr>
              <w:t xml:space="preserve">Alta</w:t>
            </w:r>
            <w:r>
              <w:rPr>
                <w:sz w:val="18"/>
                <w:szCs w:val="20"/>
              </w:rPr>
              <w:t xml:space="preserve">, vista em outras telas) e usa a função de outra tela (322, em vez da 325). A chamada que grava a entrada pendente não leva o filtro de autenticação e a classe aceita qualquer origem (</w:t>
            </w:r>
            <w:r>
              <w:rPr>
                <w:sz w:val="18"/>
                <w:szCs w:val="20"/>
              </w:rPr>
              <w:t xml:space="preserve">EstoqueController.cs:15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446-451</w:t>
            </w:r>
            <w:r>
              <w:rPr>
                <w:sz w:val="18"/>
                <w:szCs w:val="20"/>
              </w:rPr>
              <w:t xml:space="preserve">). Não testado nesta tela</w:t>
            </w:r>
          </w:p>
        </w:tc>
        <w:tc>
          <w:tcPr>
            <w:tcW w:w="12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um inspetor perguntaria nesta etapa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Inferência da análise, a validar com Assuntos Regulatórios.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O lote que está no estoque é o que a Produção fabricou? O sistema mostra isso hoje? Em parte: o lote vem da Produção, mas o Estoque não confere o envio. 2. A quantidade guardada é a quantidade produzida? O sistema mostra isso hoje? Em parte: a soma dos endereços fecha com a quantidade, mas ela é convertida para inteiro. 3. Quem confirmou a entrada e quando? O sistema mostra isso hoje? Sim, na própria entrada; o Log da lista está desligado. 4. O que acontece com o lote finalizado cujo envio ao estoque falhou? O sistema avisa hoje? Não: a Produção engole o erro. 5. Quem pode criar uma entrada de produção? O sistema controla isso hoje? A verificar: a chamada que a cria não leva o filtro de autenticação.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Lacunas para a versão corrigida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Guardar a quantidade com as casas decimais e registrar qualquer diferença entre a Produção e o Estoque (RN-EST-E22-005).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Conferir no Estoque a ordem de produção, o lote e a validade do envio e recusar validade vencida (RN-EST-E22-004).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Avisar a Produção e a Garantia da Qualidade quando o envio ou a abertura da análise falhar, e gravar a entrada e a análise numa só operação (RN-EST-E22-010).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Autenticar a chamada que cria a entrada e conferir a função na tela (DV-EST-008).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Ligar o Log da lista e a etiqueta de volume.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Decidir se esta é a única porta de entrada de produto acabado, em vez da Entrada de Material - Produção, que aceita lote digitado (DV-EST-024).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Explicar ou remover os custos FR170 e FR180 escondidos.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Guia 33/2020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Item 9.5.2.5 (interfaces): o Guia manda considerar, para qualquer interface, "Tratamento de erros, recuperação e relatório;" e "Acesso e segurança.". Nesta tela a interface com a Produção existe, mas o tratamento de erro engole falhas e a chamada que cria a entrada não leva a autenticação do serviço. Como a tela ficou bloqueada no teste, a confirmação destes pontos depende de a Produção destravar (DV-EST-076).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Entrada de Produção: Anvisa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Entrada de Produção: Anvisa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