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fabricante acompanhe as alterações pós-registro, os compromissos assumidos na aprovação e as revalidações, produza conforme o registro e mantenha registros rastreáveis, com o motivo de cada alteração.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0"/>
        <w:gridCol w:w="1263"/>
        <w:gridCol w:w="4280"/>
        <w:gridCol w:w="1168"/>
      </w:tblGrid>
      <w:tr>
        <w:trPr>
          <w:tblHeader/>
          <w:cantSplit/>
        </w:trPr>
        <w:tc>
          <w:tcPr>
            <w:tcW w:w="2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"das alterações pós-registro submetidas, autorizadas ou indeferidas, incluindo aquelas relativas a produtos registrados em outros países (apenas para exportação)"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VI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registra a obrigação e as datas, mas não separa "alteração pós-registro" de outro tipo de obrigação, nem guarda a decisão da autoridade (autorizada ou indeferida); o tipo é só Produto ou Documento (RN-GQ-AR02-006 e 008)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"dos compromissos pós-aprovação para novos registros e alterações pós-registro"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máximo e validade da obrigação ficam registrados, mas sem regra entre as datas (CT-GQ-091) e sem aviso de vencimento (RN-GQ-AR02-007 e 018)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e, eventualmente, o detentor do registro do medicamento, devem avaliar os resultados da revisão e decidir se uma ação corretiva e preventiva ou qualquer revalidação precisam ser realizadas"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e a data de revalidação são guardadas, mas nada avisa ou gera tarefa quando se aproximam; a decisão não fica registrada aqui (RN-GQ-AR02-018)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de registro ou de notificação é opcional e livre. A situação do registro não chega à Produção nem ao Comercial; uma programação vencida não impede a produção (RN-GQ-AR02-008, 019; RN-GQ-148)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não se liga ao Controle de Mudanças, nem o contrário (RN-GQ-AR02-019; </w:t>
            </w:r>
            <w:r>
              <w:rPr>
                <w:sz w:val="18"/>
                <w:szCs w:val="20"/>
              </w:rPr>
              <w:t xml:space="preserve">fluxos/assuntos-regulatorios.md</w:t>
            </w:r>
            <w:r>
              <w:rPr>
                <w:sz w:val="18"/>
                <w:szCs w:val="20"/>
              </w:rPr>
              <w:t xml:space="preserve">, ponto 5)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devem estar em conformidade com as partes relevantes dos arquivos de especificação do produto, de fabricação e dos dossiês de registro, conforme apropriado."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118, § 1º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e o número do documento são digitados e a Validade do Documento não tem campo; não há ligação com o Controle de Documentos nem com o dossiê (RN-GQ-AR02-009 e 010)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geram histórico. Na alteração, o responsável é trocado por quem edita, a marca de monitorada pode se perder e o fornecedor (pelo número) fica fora do histórico (RN-GQ-AR02-012, 013 e 016)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 e data do servidor. Não há assinatura eletrônica, e datas ilegíveis na alteração são ignoradas em silêncio, mantendo a data antiga (RN-GQ-AR02-015)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pede justificativa só na tela; o servidor não confere (RN-GQ-AR02-016)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notificações, petições e revalidações estão programadas e quais já venceram? O sistema mostra isso hoje? Em parte. A lista mostra tipo, processo, categoria e situação; as datas só aparecem ao abrir cada programação, e não há aviso de vencimento (RN-GQ-AR02-018). 2. As datas programadas e os prazos são coerentes? O sistema mostra isso hoje? Não. O sistema aceita prazo antes da data programada e validade antes do prazo (CT-GQ-091). 3. Qual o número do registro ou da notificação de cada produto? O sistema mostra isso hoje? Em parte. O campo existe, mas é opcional e livre (RN-GQ-AR02-008). 4. O produto da programação é o mesmo da Produção, e o documento é o vigente? O sistema mostra isso hoje? Não. Produto e documento são texto digitado (RN-GQ-AR02-009). 5. Quem alterou a programação, o que mudou e por quê? O sistema mostra isso hoje? Em parte. O histórico mostra o valor antigo e o novo, mas o responsável é substituído e o motivo só é exigido na tela (RN-GQ-AR02-012 e 016). 6. Uma programação vencida impediu a produção ou a venda do produto? O sistema mostra isso hoje? Não. Nada se liga à produção nem à venda (RN-GQ-AR02-019).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de prazo e de validade próximos do fim, com tarefa e responsável (RN-GQ-AR02-018).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entre as datas: prazo não anterior à data programada; validade coerente (RN-GQ-AR02-007, confirmado no CT-GQ-091).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de registro ou notificação obrigatório quando a obrigação for sobre produto, com formato conferido (RN-GQ-AR02-008).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escolhido no cadastro da Produção e documento escolhido no Controle de Documentos, e não digitados (RN-GQ-AR02-009).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de Validade do Documento na tela (RN-GQ-AR02-010).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do processo regulatório gravado corretamente (RN-GQ-AR02-014).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Ligação com o Controle de Mudanças, os desvios e a situação do registro do produto (RN-GQ-AR02-019).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original preservado; marca de monitorada preservada na edição; datas inválidas recusadas, e não ignoradas (RN-GQ-AR02-012, 013 e 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conferida no servidor e fornecedor também no histórico (RN-GQ-AR02-016).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Distinguir o tipo da obrigação (notificação, petição, revalidação, alteração pós-registro) e guardar a decisão da autoridade.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 e "Trilhas de auditoria e registro de ações críticas, incluídas interações manuais;". Nesta tela a validação da entrada é só de preenchimento, sem coerência entre as datas (confirmado no CT-GQ-091), e a trilha de auditoria existe, mas com as falhas descritas acima.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