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Cadastros: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Cadastros</w:t>
      </w:r>
      <w:r>
        <w:rPr>
          <w:szCs w:val="20"/>
        </w:rPr>
        <w:t xml:space="preserve"> cobre os cadastros que sustentam o Estoque: grupos e itens, unidades, locais e endereços, almoxarifados, motivos e tipos de movimentação e os parâmetros do sistema.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um cadastro está errado, o erro se repete em todas as telas que o usam: um item sem a marca de quarentena entra no estoque sem passar pelo Controle da Qualidade, e um parâmetro mudado sem registro deixa a empresa sem provar quem alterou o quê.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0"/>
        <w:gridCol w:w="4988"/>
        <w:gridCol w:w="3563"/>
      </w:tblGrid>
      <w:tr>
        <w:trPr>
          <w:tblHeader/>
          <w:cantSplit/>
        </w:trPr>
        <w:tc>
          <w:tcPr>
            <w:tcW w:w="1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Item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do Item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de Unidade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Rua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Coluna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Andar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Natureza da Operação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Substância Controlada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Financeira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Fornecedor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Usuário - Almoxarifado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Funciona, mas sem uso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Referência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do Estoque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do Item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Item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Condição de Armazenagem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de Segurança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Corrente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4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3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Cadastros: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Cadastros: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