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NCM: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não trata do NCM em nenhum artigo: o que se aplica é a exigência geral de </w:t>
      </w:r>
      <w:r>
        <w:rPr>
          <w:b/>
          <w:bCs/>
          <w:szCs w:val="20"/>
        </w:rPr>
        <w:t xml:space="preserve">registro rastreável</w:t>
      </w:r>
      <w:r>
        <w:rPr>
          <w:szCs w:val="20"/>
        </w:rPr>
        <w:t xml:space="preserve">, de </w:t>
      </w:r>
      <w:r>
        <w:rPr>
          <w:b/>
          <w:bCs/>
          <w:szCs w:val="20"/>
        </w:rPr>
        <w:t xml:space="preserve">histórico das alterações com motivo</w:t>
      </w:r>
      <w:r>
        <w:rPr>
          <w:szCs w:val="20"/>
        </w:rPr>
        <w:t xml:space="preserve"> e de </w:t>
      </w:r>
      <w:r>
        <w:rPr>
          <w:b/>
          <w:bCs/>
          <w:szCs w:val="20"/>
        </w:rPr>
        <w:t xml:space="preserve">recebimento registrado com o nome e o código interno do material</w:t>
      </w:r>
      <w:r>
        <w:rPr>
          <w:szCs w:val="20"/>
        </w:rPr>
        <w:t xml:space="preserve">. Pelo código, a tela atende em parte: guarda histórico com justificativa na alteração e na exclusão, mas a inclusão não tem motivo, a importação de XML cria cadastro sem revisão e o controle de acesso é só visual. Nenhuma linha foi vista em teste de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09"/>
        <w:gridCol w:w="1379"/>
        <w:gridCol w:w="4303"/>
        <w:gridCol w:w="1340"/>
      </w:tblGrid>
      <w:tr>
        <w:trPr>
          <w:tblHeader/>
          <w:cantSplit/>
        </w:trPr>
        <w:tc>
          <w:tcPr>
            <w:tcW w:w="26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3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inclusão, alteração e exclusão grava uma linha de log com o usuário (RN-EST-CAD08-005 a 007). A importação de XML cria NCM sem passar pela tela (RN-EST-CAD08-011). Nenhum teste de tela viu o log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grava o dado antigo e o novo, o usuário, a data e a hora (RN-EST-CAD08-005). Não há assinatura eletrônica. O código fica travado na alteração e, com o NCM inativo, a descrição também; Ex e Observação continuam livres (travas só da tela)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motivo é obrigatório na alteração e na exclusão. Na inclusão não existe campo de motivo (RN-EST-CAD08-006). Leitura da área: a inclusão de dado mestre também deveria justificar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nome e/ou código interno do material, se for diferente do correspondente citado no inciso I deste artigo;"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141, II</w:t>
            </w:r>
          </w:p>
        </w:tc>
        <w:tc>
          <w:tcPr>
            <w:tcW w:w="4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NCM é parte do item da nota fiscal, junto com o item do estoque; a exclusão de um NCM usado só em notas não é impedida (RN-EST-CAD08-008). A norma não pede NCM; o ponto é manter o registro do recebimento completo (leitura da área)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estão na seção Segurança e acesso do documento da tela. Pelo código, a página abre pelo endereço (DV-EST-008, Alta). Não foi testado nesta tela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auditoria;"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trilha própria do NCM, por campo, na janela "Log Alteração - NCM"; a inclusão não tem justificativa e a importação de XML não deixa sinal na tela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o tamanho (8 dígitos), o 00000000, a descrição e o código repetido. Não confere se o código existe na tabela oficial; o índice do banco não impede repetição (RN-EST-CAD08-003)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de exclusão não diz onde o NCM é usado; a confirmação diz "item" num cadastro de NCM (confirmado em outro cadastro, CT-EST-022). A de tamanho diz o que falta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"Quem cadastrou este NCM e quem o revisou?" Resposta pelo código: o log tem quem criou e, nas alterações, quem mudou e por quê; não há revisão de segunda pessoa.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"O que acontece quando a nota fiscal chega com um NCM que o sistema não conhece?" Resposta: o sistema cria um NCM provisório e segue; a revisão depende de alguém abrir esta tela.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NCM: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NCM: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