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Local de Armazenagem: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áreas de armazenamento que separem as categorias (quarentena, liberados, rejeitados), com acesso restrito e condições especiais monitoradas. O Local de Armazenagem atende em parte: marca quarentena, refugo, refrigerado e umidade e isso funciona nas telas de destino, mas as marcas não podem ser corrigidas depois de salvas, a marca de acesso não restringe nada, parte das alterações fica fora do histórico e o controle de acesso é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99"/>
        <w:gridCol w:w="1300"/>
        <w:gridCol w:w="3740"/>
        <w:gridCol w:w="1292"/>
      </w:tblGrid>
      <w:tr>
        <w:trPr>
          <w:tblHeader/>
          <w:cantSplit/>
        </w:trPr>
        <w:tc>
          <w:tcPr>
            <w:tcW w:w="3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7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áreas de armazenamento devem ter capacidade suficiente para permitir o estoque ordenado das várias categorias de materiais e produtos, tais como matérias-primas, materiais de embalagem, produtos intermediários, a granel e terminados, em sua condição de quarentena, liberados, rejeitados, devolvidos ou recolhidos."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85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categorias quarentena e rejeitado têm marca própria no local (Quarentena e Refugo); os locais comuns são os liberados. A capacidade fica no Endereço do Estoque, não aqui. Locais de quarentena e de refugo foram criados e usados (CT-EST-001, 07/10/2026; CT-EST-051, 13/10/2026)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 a quarentena for assegurada por meio da armazenagem em áreas separadas, estas áreas devem ser claramente identificadas e o seu acesso, restrito ao pessoal autorizado."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89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identificação é o nome e a marca Quarentena. O acesso restrito deveria vir da marca </w:t>
            </w:r>
            <w:r>
              <w:rPr>
                <w:sz w:val="18"/>
                <w:b/>
                <w:bCs/>
                <w:szCs w:val="20"/>
              </w:rPr>
              <w:t xml:space="preserve">Controle de Acesso</w:t>
            </w:r>
            <w:r>
              <w:rPr>
                <w:sz w:val="18"/>
                <w:szCs w:val="20"/>
              </w:rPr>
              <w:t xml:space="preserve">, mas ela é só gravada (RN-EST-CAD09-017; CT-EST-016, 22/10/2026: o item controlado não exigiu local controlado). A marca de quarentena não se corrige depois de salva (RN-EST-CAD09-012)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"Qualquer sistema que substitua a quarentena física deve proporcionar um grau de segurança equivalente."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89, parágrafo único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quarentena do sistema é a marca do local mais a lista de destinos das telas; o servidor não confere (RN-EST-059). Equivalência à quarentena física: leitura da área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item em quarentena, o Endereçamento só oferece locais com a marca Quarentena (CT-EST-195, 22/10/2026). Sem local de quarentena cadastrado não há destino. A marca não é corrigível (RN-EST-CAD09-012)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local define a condição (refrigerado, umidade, grupo e subgrupo de itens). A rotação do estoque não é tratada aqui (DV-EST-048, Alta, no Atendimento). O destino refrigerado falha na Movimentação (DV-EST-042)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"Nos casos em que forem necessárias condições especiais de armazenamento, tais como temperatura e umidade, essas devem ser providenciadas, verificadas e monitoradas."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86, parágrafo único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local marca Refrigerado e Controle de Umidade; o sistema não monitora temperatura nem umidade. Mudar a umidade não deixa rastro (RN-EST-CAD09-013). O monitoramento é de outro processo (leitura da área)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e produtos rejeitados devem ser claramente identificados como tal e armazenados separadamente em áreas restritas."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223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local de Refugo é o destino único do lote reprovado na Movimentação de Quarentena (CT-EST-051, 13/10/2026). A "área restrita" depende da marca de acesso, que não restringe (RN-EST-CAD09-017)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geram log com usuário (RN-EST-CAD09-013). O endereço de sistema criado pelo gatilho não entra no log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tem valor antigo, novo, usuário, data e hora; sem assinatura eletrônica. Umidade e Regra de Estabilidade ficam de fora (RN-EST-CAD09-013)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é obrigatório na alteração e na exclusão; na inclusão não existe campo (RN-EST-008)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Pelo código a página abre pelo endereço e o formulário salva sem a função de incluir (DV-EST-008, Alta). Não testado nesta tela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código 000, descrição e almoxarifado em branco (CT-EST-012, 22/10/2026). Aceita o mesmo código em almoxarifados diferentes só se o código for diferente (único por empresa); não impede duplicidade simultânea (o banco não tem índice)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7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de obrigatoriedade dizem o campo. A de exclusão não diz o motivo; a de erro técnico cita "Tipo de Armazenagem". A mensagem do almoxarifado ausente não explica que ele depende do grupo (DV-EST-066)</w:t>
            </w:r>
          </w:p>
        </w:tc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"Como o sistema impede que um lote em quarentena vá para um local comum?" Resposta pelo código: só a lista de destinos; o servidor não confere (RN-EST-059). E o local de quarentena não se corrige se foi marcado errado.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"Quem tem acesso à área de quarentena?" Resposta: o sistema guarda a marca "Controle de Acesso", mas não usa; o controle é físico, fora do sistema.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"Quem mudou a marca de um local e por quê?" Resposta: o log mostra para quarentena, refugo, refrigerado e acesso; para umidade e regra de estabilidade não.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Local de Armazenagem: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Local de Armazenagem: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