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Item: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cada material tenha especificação com nome, código interno, condições de armazenamento e prazo máximo antes da reanálise, e que as alterações sejam registradas com data e motivo. O cadastro de Item atende em parte: guarda nome, código, armazenamento e controles e tem histórico com justificativa, mas o prazo de reanálise não é cadastrável, vários controles essenciais ficam fora do histórico, o almoxarifado de identificação não é exigido e o controle de acesso é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83"/>
        <w:gridCol w:w="1332"/>
        <w:gridCol w:w="3909"/>
        <w:gridCol w:w="1307"/>
      </w:tblGrid>
      <w:tr>
        <w:trPr>
          <w:tblHeader/>
          <w:cantSplit/>
        </w:trPr>
        <w:tc>
          <w:tcPr>
            <w:tcW w:w="3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e a referência do código interno;"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130, I, a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tem código (gerado se vazio), descrição de 100 letras e código de barras; único por empresa e, para item de cliente, por cliente (RN-EST-CAD12-002). Foram cadastrados itens com código e descrição (CT-EST-001, 07/10/2026)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"IV - condições de armazenamento e precauções; e"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130, IV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guarda refrigerado, controle de umidade, condição de armazenagem, nível de segurança e as medidas e o peso; a Movimentação confere o peso (CT-EST-038). O destino refrigerado falha (DV-EST-042)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 - o período máximo de armazenamento antes de uma reanálise."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130, V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vem da classificação de reanálise, cujo campo </w:t>
            </w:r>
            <w:r>
              <w:rPr>
                <w:sz w:val="18"/>
                <w:b/>
                <w:bCs/>
                <w:szCs w:val="20"/>
              </w:rPr>
              <w:t xml:space="preserve">não aparece</w:t>
            </w:r>
            <w:r>
              <w:rPr>
                <w:sz w:val="18"/>
                <w:szCs w:val="20"/>
              </w:rPr>
              <w:t xml:space="preserve"> na tela (DV-EST-043, Alta; CT-EST-018, 055, 058, 061)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e/ou código interno do material, se for diferente do correspondente citado no inciso I deste artigo;"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II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registra o item pelo código e pelo nome do cadastro; o Almoxarifado de Identificação ausente derruba a confirmação do recebimento (DV-EST-010)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Quarentena do item manda o lote para local de quarentena (CT-EST-195, 22/10/2026) e exige tipo de análise (07/10/2026). Mudar esse controle não deixa histórico (RN-EST-CAD12-014)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log com o usuário. Controles de quarentena, lote, umidade, substância, pesagem, classe, reanálise, SJB, conta financeira e almoxarifados ficam fora (RN-EST-CAD12-014)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guarda valor antigo, novo, usuário, data e hora dos campos listados; as alterações do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apareceram com justificativa (13/10/2026). Sem assinatura eletrônica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é obrigatório em toda gravação, inclusive na inclusão (CT-EST-001, 07/10/2026) e na exclusão. Ponto positivo em relação aos demais cadastros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 a página abre pelo endereço e o formulário salva sem a função de incluir (DV-EST-008, Alta). A etiqueta aparece para todos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por campo na janela de log, com vários controles críticos de fora; o vínculo de almoxarifado removido não gera linha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campos vazios, cliente ausente, quarentena sem análise e substância sem tipo (CT-EST-015 e 016). Aceita mínimo maior que o máximo (DV-EST-051); o mínimo não aceita decimais; o código com asterisco não é exigido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recusas de campo dizem o que falta. A confirmação do recebimento não diz que falta o almoxarifado de identificação (DV-EST-010); "Comprimento inválido." fala do campo Profundidade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"Qual é o prazo de reanálise deste material e onde está cadastrado?" Resposta pelo código: seria a classificação de reanálise, mas ela não pode ser ligada ao item pela tela (DV-EST-043).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"Quem mudou o controle de quarentena deste material e quando?" Resposta pelo código: o histórico não registra essa mudança.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"O que impede alterar o código do material depois de usado?" Resposta: o campo trava depois do primeiro movimento.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Item: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Item: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