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Conversão Fornecedor: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15-conversao-fornecedor.fluxo.json,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Cadastros prontos: O fornecedor (pessoa jurídica do tipo Fornecedor), o item e a apresentação existem e estão ativos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Na lista, clicar em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os campos: Fornecedor, Cód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Campos completos e código novo? (decisão): A tela confere os quatro campos; o servidor recusa o código que já está em outra ligação da empresa, de qualquer fornecedor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Clicar em SALVAR e responder SIM a "Confirma a inclusão do item?". Grava a ligação ativa e a linha de inclusão no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Produto da nota tem ligação? (decisão): Ao ler o XML da nota, o Recebimento procura o fornecedor e o código do produto entre as ligações ativas e converte a quantidade pelo fator da apresentação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Alterar ou excluir: Alterar e excluir pedem justificativa; a exclusão só marca a ligação como excluída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com código repetido ou campo vazio nada é gravado; o produto da nota sem ligação ativa não entra na nota importada.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ligação tem duas situações: </w:t>
      </w:r>
      <w:r>
        <w:rPr>
          <w:b/>
          <w:bCs/>
          <w:szCs w:val="20"/>
        </w:rPr>
        <w:t xml:space="preserve">ativa</w:t>
      </w:r>
      <w:r>
        <w:rPr>
          <w:szCs w:val="20"/>
        </w:rPr>
        <w:t xml:space="preserve"> (padrão ao incluir) e </w:t>
      </w:r>
      <w:r>
        <w:rPr>
          <w:b/>
          <w:bCs/>
          <w:szCs w:val="20"/>
        </w:rPr>
        <w:t xml:space="preserve">inativa</w:t>
      </w:r>
      <w:r>
        <w:rPr>
          <w:szCs w:val="20"/>
        </w:rPr>
        <w:t xml:space="preserve">, que só se muda ao editar (apresentacao_fornecedor_ed.aspx:105-110; dalApresentacaoFornecedor.cs:9-61). Com ativa = Não, o Recebimento por XML deixa de reconhecer o produto (dalApresentacaoFornecedor.cs:226-265).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inclusão pelo formulário (ativa).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Inativa: escolha do usuário ao editar; fornecedor, código, item e apresentação ficam travados até reativar.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Excluída: marca de lixeira; some da lista e do Recebimento (dalApresentacaoFornecedor.cs:99-119).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 com usuário e data (bllApresentacaoFornecedor.cs:29-30; dalLogAlteracao2.cs:60-75). A linha não traz o conteúdo do que foi incluído.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mudado, com valor antigo e novo, usuário e justificativa, para Empresa, Item, Apresentação, Fornecedor e Ativo (bllApresentacaoFornecedor.cs:60-65; LaboSys_Model/ApresentacaoFornecedor.cs:28-35).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 (bllApresentacaoFornecedor.cs:123-124; dalLogAlteracao2.cs:224-246).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lista mostra campo, dado antigo, dado novo, data, hora, usuário e justificativa (apresentacao_fornecedor_lst.aspx:217-300).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do </w:t>
      </w:r>
      <w:r>
        <w:rPr>
          <w:b/>
          <w:bCs/>
          <w:szCs w:val="20"/>
        </w:rPr>
        <w:t xml:space="preserve">código do item no fornecedor</w:t>
      </w:r>
      <w:r>
        <w:rPr>
          <w:szCs w:val="20"/>
        </w:rPr>
        <w:t xml:space="preserve"> (CodigoFornecedor): o cadastro de campos auditáveis tem o nome "CodigoFonecedor" (sem o "r"), que não existe na classe, então o campo nunca entra no log (LaboSys_Model/ApresentacaoFornecedor.cs:33). Extraída; confirmar alterando o código e abrindo o Log (CT-EST-CAD15-04).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de uma ligação excluída não pode ser consultado, porque o ícone Ver Log só existe na linha de uma ligação que ainda aparece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é gravada com a empresa em branco: a tela de exclusão não preenche a empresa do objeto antes do log (apresentacao_fornecedor_lst.aspx.cs:259-266), e o Log filtra pela empresa da sessão (dalLogAlteracao2.cs:344-352). Ponto para validar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de log (TBL_LOG_ALTERACAO_ESTOQUE) não está na pasta de tabelas do projeto de banco do Estoque; ponto para validar com o DBA.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7"/>
        <w:gridCol w:w="2328"/>
        <w:gridCol w:w="1528"/>
        <w:gridCol w:w="3048"/>
      </w:tblGrid>
      <w:tr>
        <w:trPr>
          <w:tblHeader/>
          <w:cantSplit/>
        </w:trPr>
        <w:tc>
          <w:tcPr>
            <w:tcW w:w="2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TBL_APRESENTACAO_FORN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ID_APRESENTACAO_FORN, ID_EMPRESA, ID_ITEM, ID_APRESENTACAO, COD_PJ_FORN, CODIGO_FORN (14), USUARIO_CRIACAO, DATA_CRIACAO, USUARIO_ALTERACAO, DATA_ALTERACAO, LIXEIRA, ATIVO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item, apresentação e empresa; </w:t>
            </w:r>
            <w:r>
              <w:rPr>
                <w:sz w:val="18"/>
                <w:b/>
                <w:bCs/>
                <w:szCs w:val="20"/>
              </w:rPr>
              <w:t xml:space="preserve">o fornecedor (COD_PJ_FORN) não tem chave estrangeira</w:t>
            </w:r>
            <w:r>
              <w:rPr>
                <w:sz w:val="18"/>
                <w:szCs w:val="20"/>
              </w:rPr>
              <w:t xml:space="preserve">; sem restrição de unicidade para o código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TBL_APRESENTACAO_FORN.sql:1-18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TBL_APRESENTACAO_PRODUTO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NOME_APRESENTACAO, QTDE_APRESENTACAO (fator), ID_UNIDADE, ATIVO, LIXEIRA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da tela Conversão de Unidade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TBL_APRESENTACAO_PRODUTO.sql:1-21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RAZAO_SOCIAL, CODIGO_PJ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 do Principal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dalApresentacaoFornecedor.cs:330-331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COD_ITEM, NOME_DESCRICAO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ligado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dalApresentacaoFornecedor.cs:332-333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empresa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inclusão, alteração e exclusão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 e 297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0"/>
        <w:gridCol w:w="2236"/>
        <w:gridCol w:w="1424"/>
        <w:gridCol w:w="3971"/>
      </w:tblGrid>
      <w:tr>
        <w:trPr>
          <w:tblHeader/>
          <w:cantSplit/>
        </w:trPr>
        <w:tc>
          <w:tcPr>
            <w:tcW w:w="20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pessoas jurídicas do tipo Fornecedor e a razão social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 (GBL_PJ)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apresentacao_fornecedor_ed.aspx.cs:39-44; dalApresentacaoFornecedor.cs:330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(Recebimento)</w:t>
            </w:r>
          </w:p>
        </w:tc>
        <w:tc>
          <w:tcPr>
            <w:tcW w:w="2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lê esta tabela ao importar o XML da nota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LerNFeItem.cs:85; recebimento_ed.aspx.cs:826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Controle da Qualidade, Comercial</w:t>
            </w:r>
          </w:p>
        </w:tc>
        <w:tc>
          <w:tcPr>
            <w:tcW w:w="2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Conversão Fornecedor: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Conversão Fornecedor: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