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da Movimentação: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21-motivo-da-movimentacao.fluxo.json,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motivo: Escolher o texto do motivo e se vale para entrada, para saída ou para as duas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Na lista, clicar em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os campos: Código (opcional, até 5 caracteres; sem código o sistema gera), descrição (até 40), Entrada (Sim ou Não), Saída (Sim ou Não)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válidos? (decisão): A descrição é obrigatória; o servidor recusa código repetido entre os registros não excluídos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Clicar em SALVAR e responder SIM a "Confirma a inclusão do item?". Grava e registra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nas movimentações: Saída de Material, Entrada de Material - Outras, Devolução, Devolução da Produção e Remessa de Material oferecem os motivos conforme a marca de Entrada ou Saída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Excluir? (decisão): A exclusão pede justificativa e é recusada se o motivo já foi usado em movimentação, saída ou remessa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a descrição vazia ou código repetido nada é gravado; a exclusão de motivo em uso é recusada.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motivo tem duas situações: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(padrão ao incluir) e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que só se muda ao editar (motivo_movimentacao_ed.aspx:88-95). Inativo, o motivo sai da lista de pesquisa quando filtrada por situação, mas </w:t>
      </w:r>
      <w:r>
        <w:rPr>
          <w:b/>
          <w:bCs/>
          <w:szCs w:val="20"/>
        </w:rPr>
        <w:t xml:space="preserve">continua nas listas das telas de movimentação</w:t>
      </w:r>
      <w:r>
        <w:rPr>
          <w:szCs w:val="20"/>
        </w:rPr>
        <w:t xml:space="preserve"> (dalMotivoMovimentacao.cs:193-212).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inclusão pelo formulário (ativo).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escolha do usuário ao editar; os campos ficam travados até reativar.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marca de lixeira, só se o motivo nunca foi usado (dalMotivoMovimentacao.cs:79-102 e 286-304).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 (bllMotivoMovimentacao.cs:62; dalLogAlteracao2.cs:60-75). A linha não traz o conteúdo.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(identificador, código, descrição, saída, entrada, ativo e lixeira), com valor antigo e novo, usuário e justificativa (bllMotivoMovimentacao.cs:98; LaboSys_Model/MotivoMovimentacao.cs:159-165).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 (bllMotivoMovimentacao.cs:166; dalLogAlteracao2.cs:224-246).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campo, dado antigo, dado novo, data, hora, usuário e justificativa (motivo_movimentacao_lst.aspx:196-264).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inclusão (como o motivo nasceu).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é gravada com a empresa em branco: a tela de exclusão não preenche a empresa do objeto antes do log (motivo_movimentacao_lst.aspx.cs:234-245), e o Log filtra pela empresa da sessão (dalLogAlteracao2.cs:344-352).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7"/>
        <w:gridCol w:w="2527"/>
        <w:gridCol w:w="1328"/>
        <w:gridCol w:w="3049"/>
      </w:tblGrid>
      <w:tr>
        <w:trPr>
          <w:tblHeader/>
          <w:cantSplit/>
        </w:trPr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TBL_MOTIVO_MOVIMENTACAO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ID_MOTIVO, COD_MOTIVO (10), MOTIVO (40), SAIDA, ENTRADA, ATIVO, LIXEIRA, ID_EMPRESA, COD_CLASSIFICACAO (sem uso), usuários e datas de criação e alteração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estrangeira só para a empresa; </w:t>
            </w:r>
            <w:r>
              <w:rPr>
                <w:sz w:val="18"/>
                <w:b/>
                <w:bCs/>
                <w:szCs w:val="20"/>
              </w:rPr>
              <w:t xml:space="preserve">sem unicidade de código no banco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TBL_MOTIVO_MOVIMENTACAO.sql:1-17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TBL_MOVIMENTACAO, TBL_SAIDA, TBL_REMESSA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ID_MOTIVO_MOVIMENTACAO, ID_MOTIVO, ID_MOTIVO_SAIDA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Apontam para o motivo por chave estrangeira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TBL_MOVIMENTACAO.sql:26; TBL_SAIDA.sql:27; TBL_REMESSA.sql:60</w:t>
            </w:r>
          </w:p>
        </w:tc>
      </w:tr>
      <w:tr>
        <w:trPr>
          <w:cantSplit/>
        </w:trPr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3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9"/>
        <w:gridCol w:w="1792"/>
        <w:gridCol w:w="1311"/>
        <w:gridCol w:w="4339"/>
      </w:tblGrid>
      <w:tr>
        <w:trPr>
          <w:tblHeader/>
          <w:cantSplit/>
        </w:trPr>
        <w:tc>
          <w:tcPr>
            <w:tcW w:w="2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(Saída, Entrada Outras, Devolução, Devolução da Produção, Remessa, relatório de saída e remessa)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Lêem a lista de motivos por entrada ou saída e gravam o escolhido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saida_item_ed.aspx.cs:111; entrada_material_ed.aspx.cs:391; devolucao_ed.aspx.cs:317; devolucao_producao_ed.aspx.cs:309; remessa_ed.aspx.cs:181; rpt_saidaRemessa.aspx.cs:35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Controle da Qualidade, Comercial</w:t>
            </w:r>
          </w:p>
        </w:tc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Motivo da Movimentação: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Motivo da Movimentação: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